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0D7C7C" w:sz="48" w:space="0"/>
        </w:pBdr>
        <w:spacing w:after="0" w:before="0"/>
      </w:pPr>
      <w:r>
        <w:t xml:space="preserve"/>
      </w:r>
    </w:p>
    <w:p>
      <w:pPr>
        <w:spacing w:after="480" w:before="0"/>
      </w:pPr>
      <w:r>
        <w:t xml:space="preserve"/>
      </w:r>
    </w:p>
    <w:p>
      <w:pPr>
        <w:jc w:val="center"/>
      </w:pPr>
      <w:r>
        <w:rPr>
          <w:rFonts w:ascii="Arial" w:cs="Arial" w:eastAsia="Arial" w:hAnsi="Arial"/>
          <w:b/>
          <w:bCs/>
          <w:color w:val="1B3A5C"/>
          <w:sz w:val="52"/>
          <w:szCs w:val="52"/>
        </w:rPr>
        <w:t xml:space="preserve">Real AI Standards</w:t>
      </w:r>
    </w:p>
    <w:p>
      <w:pPr>
        <w:spacing w:after="0" w:before="80"/>
        <w:jc w:val="center"/>
      </w:pPr>
      <w:r>
        <w:rPr>
          <w:rFonts w:ascii="Arial" w:cs="Arial" w:eastAsia="Arial" w:hAnsi="Arial"/>
          <w:i/>
          <w:iCs/>
          <w:color w:val="0D7C7C"/>
          <w:sz w:val="22"/>
          <w:szCs w:val="22"/>
        </w:rPr>
        <w:t xml:space="preserve">Practical AI guidance for real estate professionals</w:t>
      </w:r>
    </w:p>
    <w:p>
      <w:pPr>
        <w:spacing w:after="0" w:before="60"/>
        <w:jc w:val="center"/>
      </w:pPr>
      <w:r>
        <w:rPr>
          <w:rFonts w:ascii="Arial" w:cs="Arial" w:eastAsia="Arial" w:hAnsi="Arial"/>
          <w:color w:val="C8882A"/>
          <w:sz w:val="20"/>
          <w:szCs w:val="20"/>
        </w:rPr>
        <w:t xml:space="preserve">www.realaistandards.com</w:t>
      </w:r>
    </w:p>
    <w:p>
      <w:pPr>
        <w:spacing w:after="600" w:before="0"/>
      </w:pPr>
      <w:r>
        <w:t xml:space="preserve"/>
      </w:r>
    </w:p>
    <w:p>
      <w:pPr>
        <w:pBdr>
          <w:bottom w:val="single" w:color="C8882A" w:sz="12" w:space="1"/>
        </w:pBdr>
        <w:spacing w:after="0" w:before="0"/>
      </w:pPr>
      <w:r>
        <w:t xml:space="preserve"/>
      </w:r>
    </w:p>
    <w:p>
      <w:pPr>
        <w:spacing w:after="300" w:before="0"/>
      </w:pPr>
      <w:r>
        <w:t xml:space="preserve"/>
      </w:r>
    </w:p>
    <w:p>
      <w:pPr>
        <w:jc w:val="center"/>
      </w:pPr>
      <w:r>
        <w:rPr>
          <w:rFonts w:ascii="Arial" w:cs="Arial" w:eastAsia="Arial" w:hAnsi="Arial"/>
          <w:b/>
          <w:bCs/>
          <w:color w:val="1B3A5C"/>
          <w:sz w:val="52"/>
          <w:szCs w:val="52"/>
        </w:rPr>
        <w:t xml:space="preserve">AI Acceptable Use Framework</w:t>
      </w:r>
    </w:p>
    <w:p>
      <w:pPr>
        <w:spacing w:after="0" w:before="80"/>
        <w:jc w:val="center"/>
      </w:pPr>
      <w:r>
        <w:rPr>
          <w:rFonts w:ascii="Arial" w:cs="Arial" w:eastAsia="Arial" w:hAnsi="Arial"/>
          <w:b/>
          <w:bCs/>
          <w:color w:val="1B3A5C"/>
          <w:sz w:val="44"/>
          <w:szCs w:val="44"/>
        </w:rPr>
        <w:t xml:space="preserve">for Real Estate Agents</w:t>
      </w:r>
    </w:p>
    <w:p>
      <w:pPr>
        <w:spacing w:after="240" w:before="0"/>
      </w:pPr>
      <w:r>
        <w:t xml:space="preserve"/>
      </w:r>
    </w:p>
    <w:p>
      <w:pPr>
        <w:jc w:val="center"/>
      </w:pPr>
      <w:r>
        <w:rPr>
          <w:rFonts w:ascii="Arial" w:cs="Arial" w:eastAsia="Arial" w:hAnsi="Arial"/>
          <w:i/>
          <w:iCs/>
          <w:color w:val="4A4A4A"/>
          <w:sz w:val="21"/>
          <w:szCs w:val="21"/>
        </w:rPr>
        <w:t xml:space="preserve">Practitioner guidance for the responsible use of AI tools in residential and commercial real estate practice</w:t>
      </w:r>
    </w:p>
    <w:p>
      <w:pPr>
        <w:spacing w:after="600" w:before="0"/>
      </w:pPr>
      <w:r>
        <w:t xml:space="preserve"/>
      </w:r>
    </w:p>
    <w:p>
      <w:pPr>
        <w:spacing w:after="0" w:before="0"/>
        <w:jc w:val="center"/>
      </w:pPr>
      <w:r>
        <w:rPr>
          <w:rFonts w:ascii="Arial" w:cs="Arial" w:eastAsia="Arial" w:hAnsi="Arial"/>
          <w:color w:val="D0D7DE"/>
          <w:sz w:val="16"/>
          <w:szCs w:val="16"/>
        </w:rPr>
        <w:t xml:space="preserve">Last Reviewed: May 2026  |  Version 1.0  |  For Real Estate Agents &amp; Brokers</w:t>
      </w:r>
    </w:p>
    <w:p>
      <w:pPr>
        <w:spacing w:after="600" w:before="0"/>
      </w:pPr>
      <w:r>
        <w:t xml:space="preserve"/>
      </w:r>
    </w:p>
    <w:p>
      <w:pPr>
        <w:jc w:val="center"/>
      </w:pPr>
      <w:r>
        <w:rPr>
          <w:rFonts w:ascii="Arial" w:cs="Arial" w:eastAsia="Arial" w:hAnsi="Arial"/>
          <w:i/>
          <w:iCs/>
          <w:color w:val="4A4A4A"/>
          <w:sz w:val="17"/>
          <w:szCs w:val="17"/>
        </w:rPr>
        <w:t xml:space="preserve">This document is provided as practitioner guidance only and does not constitute legal advice.</w:t>
      </w:r>
    </w:p>
    <w:p>
      <w:pPr>
        <w:spacing w:after="0" w:before="60"/>
        <w:jc w:val="center"/>
      </w:pPr>
      <w:r>
        <w:rPr>
          <w:rFonts w:ascii="Arial" w:cs="Arial" w:eastAsia="Arial" w:hAnsi="Arial"/>
          <w:color w:val="0D7C7C"/>
          <w:sz w:val="17"/>
          <w:szCs w:val="17"/>
        </w:rPr>
        <w:t xml:space="preserve">© 2026 Real AI Standards  |  www.realaistandards.com</w:t>
      </w:r>
    </w:p>
    <w:p>
      <w:r>
        <w:br w:type="page"/>
      </w:r>
    </w:p>
    <w:p>
      <w:pPr>
        <w:sectPr>
          <w:pgSz w:w="12240" w:h="15840" w:orient="portrait"/>
          <w:pgMar w:top="1440" w:right="1440" w:bottom="1440" w:left="1440" w:header="708" w:footer="708" w:gutter="0"/>
          <w:pgNumType/>
          <w:docGrid w:linePitch="36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882A" w:sz="1"/>
              <w:left w:val="single" w:color="C8882A" w:sz="24"/>
              <w:bottom w:val="single" w:color="C8882A" w:sz="1"/>
              <w:right w:val="single" w:color="C8882A" w:sz="1"/>
            </w:tcBorders>
            <w:shd w:fill="FDF6EC" w:val="clear"/>
            <w:tcMar>
              <w:top w:type="dxa" w:w="120"/>
              <w:left w:type="dxa" w:w="160"/>
              <w:bottom w:type="dxa" w:w="120"/>
              <w:right w:type="dxa" w:w="160"/>
            </w:tcMar>
          </w:tcPr>
          <w:p>
            <w:pPr>
              <w:spacing w:after="80" w:before="0"/>
            </w:pPr>
            <w:r>
              <w:rPr>
                <w:rFonts w:ascii="Arial" w:cs="Arial" w:eastAsia="Arial" w:hAnsi="Arial"/>
                <w:b/>
                <w:bCs/>
                <w:color w:val="C8882A"/>
                <w:sz w:val="19"/>
                <w:szCs w:val="19"/>
              </w:rPr>
              <w:t xml:space="preserve">⚠  Document Currency Notice</w:t>
            </w:r>
          </w:p>
          <w:p>
            <w:pPr>
              <w:spacing w:after="80" w:before="0"/>
            </w:pPr>
            <w:r>
              <w:rPr>
                <w:rFonts w:ascii="Arial" w:cs="Arial" w:eastAsia="Arial" w:hAnsi="Arial"/>
                <w:color w:val="4A4A4A"/>
                <w:sz w:val="18"/>
                <w:szCs w:val="18"/>
              </w:rPr>
              <w:t xml:space="preserve">This framework reflects AI tools, regulatory guidance, and industry practice as of May 2026. The AI landscape — and the real estate industry's adoption of it — evolves rapidly. Guidance that is current today may be materially incomplete within 6–12 months.</w:t>
            </w:r>
          </w:p>
          <w:p>
            <w:r>
              <w:rPr>
                <w:rFonts w:ascii="Arial" w:cs="Arial" w:eastAsia="Arial" w:hAnsi="Arial"/>
                <w:color w:val="4A4A4A"/>
                <w:sz w:val="18"/>
                <w:szCs w:val="18"/>
              </w:rPr>
              <w:t xml:space="preserve">Real AI Standards subscribers receive automatic updates when significant changes occur, plus access to the full framework library covering data privacy, vendor due diligence, fair housing AI compliance, and more. Visit </w:t>
            </w:r>
            <w:r>
              <w:rPr>
                <w:rFonts w:ascii="Arial" w:cs="Arial" w:eastAsia="Arial" w:hAnsi="Arial"/>
                <w:b/>
                <w:bCs/>
                <w:color w:val="0D7C7C"/>
                <w:sz w:val="18"/>
                <w:szCs w:val="18"/>
              </w:rPr>
              <w:t xml:space="preserve">www.realaistandards.com</w:t>
            </w:r>
            <w:r>
              <w:rPr>
                <w:rFonts w:ascii="Arial" w:cs="Arial" w:eastAsia="Arial" w:hAnsi="Arial"/>
                <w:color w:val="4A4A4A"/>
                <w:sz w:val="18"/>
                <w:szCs w:val="18"/>
              </w:rPr>
              <w:t xml:space="preserve"> to learn about subscription options.</w:t>
            </w:r>
          </w:p>
        </w:tc>
      </w:tr>
    </w:tbl>
    <w:p>
      <w:pPr>
        <w:spacing w:after="200" w:before="0"/>
      </w:pPr>
      <w:r>
        <w:t xml:space="preserve"/>
      </w:r>
    </w:p>
    <w:p>
      <w:pPr>
        <w:pStyle w:val="Heading1"/>
        <w:pBdr>
          <w:bottom w:val="single" w:color="0D7C7C" w:sz="8" w:space="4"/>
        </w:pBdr>
        <w:spacing w:after="160" w:before="360"/>
      </w:pPr>
      <w:r>
        <w:rPr>
          <w:rFonts w:ascii="Arial" w:cs="Arial" w:eastAsia="Arial" w:hAnsi="Arial"/>
          <w:b/>
          <w:bCs/>
          <w:color w:val="1B3A5C"/>
          <w:sz w:val="28"/>
          <w:szCs w:val="28"/>
        </w:rPr>
        <w:t xml:space="preserve">1.  Introduction</w:t>
      </w:r>
    </w:p>
    <w:p>
      <w:pPr>
        <w:spacing w:after="120" w:before="60"/>
      </w:pPr>
      <w:r>
        <w:rPr>
          <w:rFonts w:ascii="Arial" w:cs="Arial" w:eastAsia="Arial" w:hAnsi="Arial"/>
          <w:color w:val="4A4A4A"/>
          <w:sz w:val="20"/>
          <w:szCs w:val="20"/>
        </w:rPr>
        <w:t xml:space="preserve">Artificial intelligence tools are reshaping how real estate agents work — from drafting listing descriptions to synthesising market data, managing client communications, and reviewing transaction documents. Used well, these tools can meaningfully improve efficiency, consistency, and service quality. Used carelessly, they can introduce inaccuracies, fair housing violations, data privacy failures, or erosion of client trust.</w:t>
      </w:r>
    </w:p>
    <w:p>
      <w:pPr>
        <w:spacing w:after="120" w:before="60"/>
      </w:pPr>
      <w:r>
        <w:rPr>
          <w:rFonts w:ascii="Arial" w:cs="Arial" w:eastAsia="Arial" w:hAnsi="Arial"/>
          <w:color w:val="4A4A4A"/>
          <w:sz w:val="20"/>
          <w:szCs w:val="20"/>
        </w:rPr>
        <w:t xml:space="preserve">This AI Acceptable Use Framework provides practical, actionable guidance for real estate agents and the brokerages that support them. It is written from the perspective of an experienced IT professional with real estate industry knowledge. It is not legal advice, and it is not a substitute for guidance from a licensed attorney, your state real estate commission, or your brokerage's legal counsel.</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0D7C7C" w:sz="1"/>
              <w:left w:val="single" w:color="0D7C7C" w:sz="18"/>
              <w:bottom w:val="single" w:color="0D7C7C" w:sz="1"/>
              <w:right w:val="single" w:color="D0D7DE" w:sz="1"/>
            </w:tcBorders>
            <w:shd w:fill="F2F5F7" w:val="clear"/>
            <w:tcMar>
              <w:top w:type="dxa" w:w="120"/>
              <w:left w:type="dxa" w:w="180"/>
              <w:bottom w:type="dxa" w:w="120"/>
              <w:right w:type="dxa" w:w="180"/>
            </w:tcMar>
          </w:tcPr>
          <w:p>
            <w:pPr>
              <w:spacing w:after="80" w:before="0"/>
            </w:pPr>
            <w:r>
              <w:rPr>
                <w:rFonts w:ascii="Arial" w:cs="Arial" w:eastAsia="Arial" w:hAnsi="Arial"/>
                <w:b/>
                <w:bCs/>
                <w:color w:val="1B3A5C"/>
                <w:sz w:val="20"/>
                <w:szCs w:val="20"/>
              </w:rPr>
              <w:t xml:space="preserve">State-Specific Compliance Notice</w:t>
            </w:r>
          </w:p>
          <w:p>
            <w:pPr>
              <w:spacing w:after="60" w:before="0"/>
            </w:pPr>
            <w:r>
              <w:rPr>
                <w:rFonts w:ascii="Arial" w:cs="Arial" w:eastAsia="Arial" w:hAnsi="Arial"/>
                <w:color w:val="4A4A4A"/>
                <w:sz w:val="19"/>
                <w:szCs w:val="19"/>
              </w:rPr>
              <w:t xml:space="preserve">This framework is designed to apply across all US states, with state-specific requirements noted where particularly significant. Real estate practice, licensing obligations, and data privacy law vary meaningfully by state.</w:t>
            </w:r>
          </w:p>
          <w:p>
            <w:pPr>
              <w:spacing w:after="60" w:before="0"/>
            </w:pPr>
            <w:r>
              <w:rPr>
                <w:rFonts w:ascii="Arial" w:cs="Arial" w:eastAsia="Arial" w:hAnsi="Arial"/>
                <w:color w:val="4A4A4A"/>
                <w:sz w:val="19"/>
                <w:szCs w:val="19"/>
              </w:rPr>
              <w:t xml:space="preserve"/>
            </w:r>
          </w:p>
          <w:p>
            <w:pPr>
              <w:spacing w:after="60" w:before="0"/>
            </w:pPr>
            <w:r>
              <w:rPr>
                <w:rFonts w:ascii="Arial" w:cs="Arial" w:eastAsia="Arial" w:hAnsi="Arial"/>
                <w:color w:val="4A4A4A"/>
                <w:sz w:val="19"/>
                <w:szCs w:val="19"/>
              </w:rPr>
              <w:t xml:space="preserve">We recommend verifying your local obligations with a licensed attorney in your state before implementing any AI-related procedures. States including California, Colorado, Illinois, and New York have introduced or are actively considering AI-specific legislation that may affect real estate practice.</w:t>
            </w:r>
          </w:p>
        </w:tc>
      </w:tr>
    </w:tbl>
    <w:p>
      <w:pPr>
        <w:spacing w:after="120" w:before="0"/>
      </w:pPr>
      <w:r>
        <w:t xml:space="preserve"/>
      </w:r>
    </w:p>
    <w:p>
      <w:pPr>
        <w:spacing w:after="120" w:before="60"/>
      </w:pPr>
      <w:r>
        <w:rPr>
          <w:rFonts w:ascii="Arial" w:cs="Arial" w:eastAsia="Arial" w:hAnsi="Arial"/>
          <w:color w:val="4A4A4A"/>
          <w:sz w:val="20"/>
          <w:szCs w:val="20"/>
        </w:rPr>
        <w:t xml:space="preserve">This document covers agents operating in residential and commercial real estate contexts. References to "your brokerage" assume a traditional broker-agent relationship; independent brokers should read those references as applying to their own firm-level decisions.</w:t>
      </w:r>
    </w:p>
    <w:p>
      <w:pPr>
        <w:pStyle w:val="Heading2"/>
        <w:spacing w:after="100" w:before="280"/>
      </w:pPr>
      <w:r>
        <w:rPr>
          <w:rFonts w:ascii="Arial" w:cs="Arial" w:eastAsia="Arial" w:hAnsi="Arial"/>
          <w:b/>
          <w:bCs/>
          <w:color w:val="0D7C7C"/>
          <w:sz w:val="22"/>
          <w:szCs w:val="22"/>
        </w:rPr>
        <w:t xml:space="preserve">1.1  Who This Framework Is For</w:t>
      </w:r>
    </w:p>
    <w:p>
      <w:pPr>
        <w:pStyle w:val="ListParagraph"/>
        <w:numPr>
          <w:ilvl w:val="0"/>
          <w:numId w:val="2"/>
        </w:numPr>
        <w:spacing w:after="60" w:before="40"/>
      </w:pPr>
      <w:r>
        <w:rPr>
          <w:rFonts w:ascii="Arial" w:cs="Arial" w:eastAsia="Arial" w:hAnsi="Arial"/>
          <w:color w:val="4A4A4A"/>
          <w:sz w:val="20"/>
          <w:szCs w:val="20"/>
        </w:rPr>
        <w:t xml:space="preserve">Licensed real estate agents and brokers currently using, or considering using, AI-powered tools in their practice</w:t>
      </w:r>
    </w:p>
    <w:p>
      <w:pPr>
        <w:pStyle w:val="ListParagraph"/>
        <w:numPr>
          <w:ilvl w:val="0"/>
          <w:numId w:val="2"/>
        </w:numPr>
        <w:spacing w:after="60" w:before="40"/>
      </w:pPr>
      <w:r>
        <w:rPr>
          <w:rFonts w:ascii="Arial" w:cs="Arial" w:eastAsia="Arial" w:hAnsi="Arial"/>
          <w:color w:val="4A4A4A"/>
          <w:sz w:val="20"/>
          <w:szCs w:val="20"/>
        </w:rPr>
        <w:t xml:space="preserve">Brokerage operations and compliance staff developing agent-facing guidelines</w:t>
      </w:r>
    </w:p>
    <w:p>
      <w:pPr>
        <w:pStyle w:val="ListParagraph"/>
        <w:numPr>
          <w:ilvl w:val="0"/>
          <w:numId w:val="2"/>
        </w:numPr>
        <w:spacing w:after="60" w:before="40"/>
      </w:pPr>
      <w:r>
        <w:rPr>
          <w:rFonts w:ascii="Arial" w:cs="Arial" w:eastAsia="Arial" w:hAnsi="Arial"/>
          <w:color w:val="4A4A4A"/>
          <w:sz w:val="20"/>
          <w:szCs w:val="20"/>
        </w:rPr>
        <w:t xml:space="preserve">Proptech teams deploying AI tools into real estate workflows</w:t>
      </w:r>
    </w:p>
    <w:p>
      <w:pPr>
        <w:pStyle w:val="ListParagraph"/>
        <w:numPr>
          <w:ilvl w:val="0"/>
          <w:numId w:val="2"/>
        </w:numPr>
        <w:spacing w:after="60" w:before="40"/>
      </w:pPr>
      <w:r>
        <w:rPr>
          <w:rFonts w:ascii="Arial" w:cs="Arial" w:eastAsia="Arial" w:hAnsi="Arial"/>
          <w:color w:val="4A4A4A"/>
          <w:sz w:val="20"/>
          <w:szCs w:val="20"/>
        </w:rPr>
        <w:t xml:space="preserve">Office managers responsible for training and technology adoption</w:t>
      </w:r>
    </w:p>
    <w:p>
      <w:pPr>
        <w:pStyle w:val="Heading2"/>
        <w:spacing w:after="100" w:before="280"/>
      </w:pPr>
      <w:r>
        <w:rPr>
          <w:rFonts w:ascii="Arial" w:cs="Arial" w:eastAsia="Arial" w:hAnsi="Arial"/>
          <w:b/>
          <w:bCs/>
          <w:color w:val="0D7C7C"/>
          <w:sz w:val="22"/>
          <w:szCs w:val="22"/>
        </w:rPr>
        <w:t xml:space="preserve">1.2  How to Use This Document</w:t>
      </w:r>
    </w:p>
    <w:p>
      <w:pPr>
        <w:spacing w:after="120" w:before="60"/>
      </w:pPr>
      <w:r>
        <w:rPr>
          <w:rFonts w:ascii="Arial" w:cs="Arial" w:eastAsia="Arial" w:hAnsi="Arial"/>
          <w:color w:val="4A4A4A"/>
          <w:sz w:val="20"/>
          <w:szCs w:val="20"/>
        </w:rPr>
        <w:t xml:space="preserve">Read Section 2 (Core Principles) first — it establishes the reasoning behind everything that follows. Sections 3 through 6 can be used as working reference material. Section 7 contains the disclosure language templates that are ready to adapt and use with clients immediately.</w:t>
      </w:r>
    </w:p>
    <w:p>
      <w:pPr>
        <w:spacing w:after="120" w:before="60"/>
      </w:pPr>
      <w:r>
        <w:rPr>
          <w:rFonts w:ascii="Arial" w:cs="Arial" w:eastAsia="Arial" w:hAnsi="Arial"/>
          <w:color w:val="4A4A4A"/>
          <w:sz w:val="20"/>
          <w:szCs w:val="20"/>
        </w:rPr>
        <w:t xml:space="preserve">This framework is intentionally tool-agnostic. It does not endorse or evaluate specific AI products. References to tool categories (e.g., "large language model," "automated valuation model") apply to the class of tools, not any specific vendor.</w:t>
      </w:r>
    </w:p>
    <w:p>
      <w:pPr>
        <w:spacing w:after="60" w:before="0"/>
      </w:pPr>
      <w:r>
        <w:t xml:space="preserve"/>
      </w:r>
    </w:p>
    <w:p>
      <w:pPr>
        <w:pBdr>
          <w:bottom w:val="single" w:color="D0D7DE" w:sz="4" w:space="1"/>
        </w:pBdr>
        <w:spacing w:after="160" w:before="0"/>
      </w:pPr>
      <w:r>
        <w:t xml:space="preserve"/>
      </w:r>
    </w:p>
    <w:p>
      <w:pPr>
        <w:pStyle w:val="Heading1"/>
        <w:pBdr>
          <w:bottom w:val="single" w:color="0D7C7C" w:sz="8" w:space="4"/>
        </w:pBdr>
        <w:spacing w:after="160" w:before="360"/>
      </w:pPr>
      <w:r>
        <w:rPr>
          <w:rFonts w:ascii="Arial" w:cs="Arial" w:eastAsia="Arial" w:hAnsi="Arial"/>
          <w:b/>
          <w:bCs/>
          <w:color w:val="1B3A5C"/>
          <w:sz w:val="28"/>
          <w:szCs w:val="28"/>
        </w:rPr>
        <w:t xml:space="preserve">2.  Core Principles</w:t>
      </w:r>
    </w:p>
    <w:p>
      <w:pPr>
        <w:spacing w:after="120" w:before="60"/>
      </w:pPr>
      <w:r>
        <w:rPr>
          <w:rFonts w:ascii="Arial" w:cs="Arial" w:eastAsia="Arial" w:hAnsi="Arial"/>
          <w:color w:val="4A4A4A"/>
          <w:sz w:val="20"/>
          <w:szCs w:val="20"/>
        </w:rPr>
        <w:t xml:space="preserve">Every decision about AI use in your real estate practice should be tested against these five principles. They are listed in priority order — when principles appear to conflict, the higher-numbered principle generally takes precedence.</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D0D7DE" w:sz="1"/>
              <w:left w:val="single" w:color="D0D7DE" w:sz="1"/>
              <w:bottom w:val="single" w:color="D0D7DE" w:sz="1"/>
              <w:right w:val="single" w:color="D0D7DE" w:sz="1"/>
            </w:tcBorders>
            <w:shd w:fill="1B3A5C" w:val="clear"/>
            <w:tcMar>
              <w:top w:type="dxa" w:w="80"/>
              <w:left w:type="dxa" w:w="120"/>
              <w:bottom w:type="dxa" w:w="80"/>
              <w:right w:type="dxa" w:w="120"/>
            </w:tcMar>
            <w:vAlign w:val="top"/>
          </w:tcPr>
          <w:p>
            <w:r>
              <w:rPr>
                <w:rFonts w:ascii="Arial" w:cs="Arial" w:eastAsia="Arial" w:hAnsi="Arial"/>
                <w:b/>
                <w:bCs/>
                <w:color w:val="FFFFFF"/>
                <w:sz w:val="19"/>
                <w:szCs w:val="19"/>
              </w:rPr>
              <w:t xml:space="preserve">Principle</w:t>
            </w:r>
          </w:p>
        </w:tc>
        <w:tc>
          <w:tcPr>
            <w:tcW w:type="dxa" w:w="6560"/>
            <w:tcBorders>
              <w:top w:val="single" w:color="D0D7DE" w:sz="1"/>
              <w:left w:val="single" w:color="D0D7DE" w:sz="1"/>
              <w:bottom w:val="single" w:color="D0D7DE" w:sz="1"/>
              <w:right w:val="single" w:color="D0D7DE" w:sz="1"/>
            </w:tcBorders>
            <w:shd w:fill="1B3A5C" w:val="clear"/>
            <w:tcMar>
              <w:top w:type="dxa" w:w="80"/>
              <w:left w:type="dxa" w:w="120"/>
              <w:bottom w:type="dxa" w:w="80"/>
              <w:right w:type="dxa" w:w="120"/>
            </w:tcMar>
            <w:vAlign w:val="top"/>
          </w:tcPr>
          <w:p>
            <w:r>
              <w:rPr>
                <w:rFonts w:ascii="Arial" w:cs="Arial" w:eastAsia="Arial" w:hAnsi="Arial"/>
                <w:b/>
                <w:bCs/>
                <w:color w:val="FFFFFF"/>
                <w:sz w:val="19"/>
                <w:szCs w:val="19"/>
              </w:rPr>
              <w:t xml:space="preserve">What It Means in Practice</w:t>
            </w:r>
          </w:p>
        </w:tc>
      </w:tr>
      <w:tr>
        <w:trPr>
          <w:tblHeader w:val="false"/>
        </w:trPr>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1  —  Verify Before You Rely</w:t>
            </w:r>
          </w:p>
        </w:tc>
        <w:tc>
          <w:tcPr>
            <w:tcW w:type="dxa" w:w="65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AI output is a starting point, not a conclusion. Any factual claim, figure, or representation made to a client, in a listing, or in a legal document must be independently verified by you before use.</w:t>
            </w:r>
          </w:p>
        </w:tc>
      </w:tr>
      <w:tr>
        <w:trPr>
          <w:tblHeader w:val="false"/>
        </w:trPr>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2  —  Protect Client Data</w:t>
            </w:r>
          </w:p>
        </w:tc>
        <w:tc>
          <w:tcPr>
            <w:tcW w:type="dxa" w:w="65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Client names, contact details, financial information, property addresses, and transaction details are confidential. They should not be entered into AI tools unless you have confirmed the tool's data handling practices meet your brokerage's requirements.</w:t>
            </w:r>
          </w:p>
        </w:tc>
      </w:tr>
      <w:tr>
        <w:trPr>
          <w:tblHeader w:val="false"/>
        </w:trPr>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3  —  Be Transparent</w:t>
            </w:r>
          </w:p>
        </w:tc>
        <w:tc>
          <w:tcPr>
            <w:tcW w:type="dxa" w:w="65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Clients have a reasonable interest in knowing when AI has been used to generate content or recommendations that affect them. Default to disclosure when in doubt.</w:t>
            </w:r>
          </w:p>
        </w:tc>
      </w:tr>
      <w:tr>
        <w:trPr>
          <w:tblHeader w:val="false"/>
        </w:trPr>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4  —  Stay Fair Housing Compliant</w:t>
            </w:r>
          </w:p>
        </w:tc>
        <w:tc>
          <w:tcPr>
            <w:tcW w:type="dxa" w:w="65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AI tools can inadvertently encode or amplify discriminatory patterns. Every use of AI in client-facing communications, property recommendations, or lead handling must be evaluated against your fair housing obligations.</w:t>
            </w:r>
          </w:p>
        </w:tc>
      </w:tr>
      <w:tr>
        <w:trPr>
          <w:tblHeader w:val="false"/>
        </w:trPr>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5  —  Remain Accountable</w:t>
            </w:r>
          </w:p>
        </w:tc>
        <w:tc>
          <w:tcPr>
            <w:tcW w:type="dxa" w:w="65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AI does not carry a real estate license. You do. You are responsible for everything you send, say, and represent — regardless of whether AI generated it.</w:t>
            </w:r>
          </w:p>
        </w:tc>
      </w:tr>
    </w:tbl>
    <w:p>
      <w:pPr>
        <w:spacing w:after="160" w:before="0"/>
      </w:pPr>
      <w:r>
        <w:t xml:space="preserve"/>
      </w:r>
    </w:p>
    <w:p>
      <w:pPr>
        <w:pBdr>
          <w:bottom w:val="single" w:color="D0D7DE" w:sz="4" w:space="1"/>
        </w:pBdr>
        <w:spacing w:after="160" w:before="0"/>
      </w:pPr>
      <w:r>
        <w:t xml:space="preserve"/>
      </w:r>
    </w:p>
    <w:p>
      <w:pPr>
        <w:pStyle w:val="Heading1"/>
        <w:pBdr>
          <w:bottom w:val="single" w:color="0D7C7C" w:sz="8" w:space="4"/>
        </w:pBdr>
        <w:spacing w:after="160" w:before="360"/>
      </w:pPr>
      <w:r>
        <w:rPr>
          <w:rFonts w:ascii="Arial" w:cs="Arial" w:eastAsia="Arial" w:hAnsi="Arial"/>
          <w:b/>
          <w:bCs/>
          <w:color w:val="1B3A5C"/>
          <w:sz w:val="28"/>
          <w:szCs w:val="28"/>
        </w:rPr>
        <w:t xml:space="preserve">3.  Acceptable Uses of AI</w:t>
      </w:r>
    </w:p>
    <w:p>
      <w:pPr>
        <w:spacing w:after="120" w:before="60"/>
      </w:pPr>
      <w:r>
        <w:rPr>
          <w:rFonts w:ascii="Arial" w:cs="Arial" w:eastAsia="Arial" w:hAnsi="Arial"/>
          <w:color w:val="4A4A4A"/>
          <w:sz w:val="20"/>
          <w:szCs w:val="20"/>
        </w:rPr>
        <w:t xml:space="preserve">The following uses are generally appropriate for AI tools in real estate practice, subject to the verification and oversight requirements described in Section 5. "Generally appropriate" means the risk profile is manageable with reasonable care — it does not mean AI output can be used without review.</w:t>
      </w:r>
    </w:p>
    <w:p>
      <w:pPr>
        <w:pStyle w:val="Heading2"/>
        <w:spacing w:after="100" w:before="280"/>
      </w:pPr>
      <w:r>
        <w:rPr>
          <w:rFonts w:ascii="Arial" w:cs="Arial" w:eastAsia="Arial" w:hAnsi="Arial"/>
          <w:b/>
          <w:bCs/>
          <w:color w:val="0D7C7C"/>
          <w:sz w:val="22"/>
          <w:szCs w:val="22"/>
        </w:rPr>
        <w:t xml:space="preserve">3.1  Listing Content &amp; Marketing</w:t>
      </w:r>
    </w:p>
    <w:p>
      <w:pPr>
        <w:pStyle w:val="ListParagraph"/>
        <w:numPr>
          <w:ilvl w:val="0"/>
          <w:numId w:val="2"/>
        </w:numPr>
        <w:spacing w:after="60" w:before="40"/>
      </w:pPr>
      <w:r>
        <w:rPr>
          <w:rFonts w:ascii="Arial" w:cs="Arial" w:eastAsia="Arial" w:hAnsi="Arial"/>
          <w:color w:val="4A4A4A"/>
          <w:sz w:val="20"/>
          <w:szCs w:val="20"/>
        </w:rPr>
        <w:t xml:space="preserve">Drafting listing descriptions from agent-provided property notes and MLS data</w:t>
      </w:r>
    </w:p>
    <w:p>
      <w:pPr>
        <w:pStyle w:val="ListParagraph"/>
        <w:numPr>
          <w:ilvl w:val="0"/>
          <w:numId w:val="2"/>
        </w:numPr>
        <w:spacing w:after="60" w:before="40"/>
      </w:pPr>
      <w:r>
        <w:rPr>
          <w:rFonts w:ascii="Arial" w:cs="Arial" w:eastAsia="Arial" w:hAnsi="Arial"/>
          <w:color w:val="4A4A4A"/>
          <w:sz w:val="20"/>
          <w:szCs w:val="20"/>
        </w:rPr>
        <w:t xml:space="preserve">Generating social media captions, email newsletter copy, and property highlight summaries</w:t>
      </w:r>
    </w:p>
    <w:p>
      <w:pPr>
        <w:pStyle w:val="ListParagraph"/>
        <w:numPr>
          <w:ilvl w:val="0"/>
          <w:numId w:val="2"/>
        </w:numPr>
        <w:spacing w:after="60" w:before="40"/>
      </w:pPr>
      <w:r>
        <w:rPr>
          <w:rFonts w:ascii="Arial" w:cs="Arial" w:eastAsia="Arial" w:hAnsi="Arial"/>
          <w:color w:val="4A4A4A"/>
          <w:sz w:val="20"/>
          <w:szCs w:val="20"/>
        </w:rPr>
        <w:t xml:space="preserve">Creating first-draft bio copy, neighbourhood descriptions, and area guides</w:t>
      </w:r>
    </w:p>
    <w:p>
      <w:pPr>
        <w:pStyle w:val="ListParagraph"/>
        <w:numPr>
          <w:ilvl w:val="0"/>
          <w:numId w:val="2"/>
        </w:numPr>
        <w:spacing w:after="60" w:before="40"/>
      </w:pPr>
      <w:r>
        <w:rPr>
          <w:rFonts w:ascii="Arial" w:cs="Arial" w:eastAsia="Arial" w:hAnsi="Arial"/>
          <w:color w:val="4A4A4A"/>
          <w:sz w:val="20"/>
          <w:szCs w:val="20"/>
        </w:rPr>
        <w:t xml:space="preserve">Translating marketing materials into other languages (always have a fluent speaker review before distribution)</w:t>
      </w:r>
    </w:p>
    <w:p>
      <w:pPr>
        <w:pStyle w:val="ListParagraph"/>
        <w:numPr>
          <w:ilvl w:val="0"/>
          <w:numId w:val="2"/>
        </w:numPr>
        <w:spacing w:after="60" w:before="40"/>
      </w:pPr>
      <w:r>
        <w:rPr>
          <w:rFonts w:ascii="Arial" w:cs="Arial" w:eastAsia="Arial" w:hAnsi="Arial"/>
          <w:color w:val="4A4A4A"/>
          <w:sz w:val="20"/>
          <w:szCs w:val="20"/>
        </w:rPr>
        <w:t xml:space="preserve">Generating variation copy for A/B testing in email campaigns</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0D7C7C" w:sz="1"/>
              <w:left w:val="single" w:color="0D7C7C" w:sz="18"/>
              <w:bottom w:val="single" w:color="0D7C7C" w:sz="1"/>
              <w:right w:val="single" w:color="D0D7DE" w:sz="1"/>
            </w:tcBorders>
            <w:shd w:fill="F2F5F7" w:val="clear"/>
            <w:tcMar>
              <w:top w:type="dxa" w:w="120"/>
              <w:left w:type="dxa" w:w="180"/>
              <w:bottom w:type="dxa" w:w="120"/>
              <w:right w:type="dxa" w:w="180"/>
            </w:tcMar>
          </w:tcPr>
          <w:p>
            <w:pPr>
              <w:spacing w:after="80" w:before="0"/>
            </w:pPr>
            <w:r>
              <w:rPr>
                <w:rFonts w:ascii="Arial" w:cs="Arial" w:eastAsia="Arial" w:hAnsi="Arial"/>
                <w:b/>
                <w:bCs/>
                <w:color w:val="1B3A5C"/>
                <w:sz w:val="20"/>
                <w:szCs w:val="20"/>
              </w:rPr>
              <w:t xml:space="preserve">Verification Requirement — Listings</w:t>
            </w:r>
          </w:p>
          <w:p>
            <w:pPr>
              <w:spacing w:after="60" w:before="0"/>
            </w:pPr>
            <w:r>
              <w:rPr>
                <w:rFonts w:ascii="Arial" w:cs="Arial" w:eastAsia="Arial" w:hAnsi="Arial"/>
                <w:color w:val="4A4A4A"/>
                <w:sz w:val="19"/>
                <w:szCs w:val="19"/>
              </w:rPr>
              <w:t xml:space="preserve">Every factual claim in AI-generated listing content (square footage, bedroom/bathroom count, school districts, HOA status, appliance inclusions, zoning) must be verified against the listing agreement, MLS data, and/or seller disclosure before publication.</w:t>
            </w:r>
          </w:p>
          <w:p>
            <w:pPr>
              <w:spacing w:after="60" w:before="0"/>
            </w:pPr>
            <w:r>
              <w:rPr>
                <w:rFonts w:ascii="Arial" w:cs="Arial" w:eastAsia="Arial" w:hAnsi="Arial"/>
                <w:color w:val="4A4A4A"/>
                <w:sz w:val="19"/>
                <w:szCs w:val="19"/>
              </w:rPr>
              <w:t xml:space="preserve"/>
            </w:r>
          </w:p>
          <w:p>
            <w:pPr>
              <w:spacing w:after="60" w:before="0"/>
            </w:pPr>
            <w:r>
              <w:rPr>
                <w:rFonts w:ascii="Arial" w:cs="Arial" w:eastAsia="Arial" w:hAnsi="Arial"/>
                <w:color w:val="4A4A4A"/>
                <w:sz w:val="19"/>
                <w:szCs w:val="19"/>
              </w:rPr>
              <w:t xml:space="preserve">Errors in listing descriptions can constitute material misrepresentation. Do not publish AI-generated content without a factual review pass.</w:t>
            </w:r>
          </w:p>
        </w:tc>
      </w:tr>
    </w:tbl>
    <w:p>
      <w:pPr>
        <w:spacing w:after="120" w:before="0"/>
      </w:pPr>
      <w:r>
        <w:t xml:space="preserve"/>
      </w:r>
    </w:p>
    <w:p>
      <w:pPr>
        <w:pStyle w:val="Heading2"/>
        <w:spacing w:after="100" w:before="280"/>
      </w:pPr>
      <w:r>
        <w:rPr>
          <w:rFonts w:ascii="Arial" w:cs="Arial" w:eastAsia="Arial" w:hAnsi="Arial"/>
          <w:b/>
          <w:bCs/>
          <w:color w:val="0D7C7C"/>
          <w:sz w:val="22"/>
          <w:szCs w:val="22"/>
        </w:rPr>
        <w:t xml:space="preserve">3.2  Research &amp; Market Analysis Support</w:t>
      </w:r>
    </w:p>
    <w:p>
      <w:pPr>
        <w:pStyle w:val="ListParagraph"/>
        <w:numPr>
          <w:ilvl w:val="0"/>
          <w:numId w:val="2"/>
        </w:numPr>
        <w:spacing w:after="60" w:before="40"/>
      </w:pPr>
      <w:r>
        <w:rPr>
          <w:rFonts w:ascii="Arial" w:cs="Arial" w:eastAsia="Arial" w:hAnsi="Arial"/>
          <w:color w:val="4A4A4A"/>
          <w:sz w:val="20"/>
          <w:szCs w:val="20"/>
        </w:rPr>
        <w:t xml:space="preserve">Summarising publicly available market reports, economic data, and news articles</w:t>
      </w:r>
    </w:p>
    <w:p>
      <w:pPr>
        <w:pStyle w:val="ListParagraph"/>
        <w:numPr>
          <w:ilvl w:val="0"/>
          <w:numId w:val="2"/>
        </w:numPr>
        <w:spacing w:after="60" w:before="40"/>
      </w:pPr>
      <w:r>
        <w:rPr>
          <w:rFonts w:ascii="Arial" w:cs="Arial" w:eastAsia="Arial" w:hAnsi="Arial"/>
          <w:color w:val="4A4A4A"/>
          <w:sz w:val="20"/>
          <w:szCs w:val="20"/>
        </w:rPr>
        <w:t xml:space="preserve">Generating first-draft comparative market analysis (CMA) narratives from agent-provided comps data</w:t>
      </w:r>
    </w:p>
    <w:p>
      <w:pPr>
        <w:pStyle w:val="ListParagraph"/>
        <w:numPr>
          <w:ilvl w:val="0"/>
          <w:numId w:val="2"/>
        </w:numPr>
        <w:spacing w:after="60" w:before="40"/>
      </w:pPr>
      <w:r>
        <w:rPr>
          <w:rFonts w:ascii="Arial" w:cs="Arial" w:eastAsia="Arial" w:hAnsi="Arial"/>
          <w:color w:val="4A4A4A"/>
          <w:sz w:val="20"/>
          <w:szCs w:val="20"/>
        </w:rPr>
        <w:t xml:space="preserve">Drafting neighbourhood profile content from publicly available information</w:t>
      </w:r>
    </w:p>
    <w:p>
      <w:pPr>
        <w:pStyle w:val="ListParagraph"/>
        <w:numPr>
          <w:ilvl w:val="0"/>
          <w:numId w:val="2"/>
        </w:numPr>
        <w:spacing w:after="60" w:before="40"/>
      </w:pPr>
      <w:r>
        <w:rPr>
          <w:rFonts w:ascii="Arial" w:cs="Arial" w:eastAsia="Arial" w:hAnsi="Arial"/>
          <w:color w:val="4A4A4A"/>
          <w:sz w:val="20"/>
          <w:szCs w:val="20"/>
        </w:rPr>
        <w:t xml:space="preserve">Synthesising multiple data sources into a readable client briefing</w:t>
      </w:r>
    </w:p>
    <w:p>
      <w:pPr>
        <w:pStyle w:val="ListParagraph"/>
        <w:numPr>
          <w:ilvl w:val="0"/>
          <w:numId w:val="2"/>
        </w:numPr>
        <w:spacing w:after="60" w:before="40"/>
      </w:pPr>
      <w:r>
        <w:rPr>
          <w:rFonts w:ascii="Arial" w:cs="Arial" w:eastAsia="Arial" w:hAnsi="Arial"/>
          <w:color w:val="4A4A4A"/>
          <w:sz w:val="20"/>
          <w:szCs w:val="20"/>
        </w:rPr>
        <w:t xml:space="preserve">Creating structured outlines for buyer or seller consultations</w:t>
      </w:r>
    </w:p>
    <w:p>
      <w:pPr>
        <w:pStyle w:val="Heading2"/>
        <w:spacing w:after="100" w:before="280"/>
      </w:pPr>
      <w:r>
        <w:rPr>
          <w:rFonts w:ascii="Arial" w:cs="Arial" w:eastAsia="Arial" w:hAnsi="Arial"/>
          <w:b/>
          <w:bCs/>
          <w:color w:val="0D7C7C"/>
          <w:sz w:val="22"/>
          <w:szCs w:val="22"/>
        </w:rPr>
        <w:t xml:space="preserve">3.3  Client Communication Drafting</w:t>
      </w:r>
    </w:p>
    <w:p>
      <w:pPr>
        <w:pStyle w:val="ListParagraph"/>
        <w:numPr>
          <w:ilvl w:val="0"/>
          <w:numId w:val="2"/>
        </w:numPr>
        <w:spacing w:after="60" w:before="40"/>
      </w:pPr>
      <w:r>
        <w:rPr>
          <w:rFonts w:ascii="Arial" w:cs="Arial" w:eastAsia="Arial" w:hAnsi="Arial"/>
          <w:color w:val="4A4A4A"/>
          <w:sz w:val="20"/>
          <w:szCs w:val="20"/>
        </w:rPr>
        <w:t xml:space="preserve">Drafting initial responses to common client inquiries (inspection timelines, closing processes, offer strategy questions)</w:t>
      </w:r>
    </w:p>
    <w:p>
      <w:pPr>
        <w:pStyle w:val="ListParagraph"/>
        <w:numPr>
          <w:ilvl w:val="0"/>
          <w:numId w:val="2"/>
        </w:numPr>
        <w:spacing w:after="60" w:before="40"/>
      </w:pPr>
      <w:r>
        <w:rPr>
          <w:rFonts w:ascii="Arial" w:cs="Arial" w:eastAsia="Arial" w:hAnsi="Arial"/>
          <w:color w:val="4A4A4A"/>
          <w:sz w:val="20"/>
          <w:szCs w:val="20"/>
        </w:rPr>
        <w:t xml:space="preserve">Generating follow-up email sequences for leads or past clients</w:t>
      </w:r>
    </w:p>
    <w:p>
      <w:pPr>
        <w:pStyle w:val="ListParagraph"/>
        <w:numPr>
          <w:ilvl w:val="0"/>
          <w:numId w:val="2"/>
        </w:numPr>
        <w:spacing w:after="60" w:before="40"/>
      </w:pPr>
      <w:r>
        <w:rPr>
          <w:rFonts w:ascii="Arial" w:cs="Arial" w:eastAsia="Arial" w:hAnsi="Arial"/>
          <w:color w:val="4A4A4A"/>
          <w:sz w:val="20"/>
          <w:szCs w:val="20"/>
        </w:rPr>
        <w:t xml:space="preserve">Creating templated responses to frequent objections</w:t>
      </w:r>
    </w:p>
    <w:p>
      <w:pPr>
        <w:pStyle w:val="ListParagraph"/>
        <w:numPr>
          <w:ilvl w:val="0"/>
          <w:numId w:val="2"/>
        </w:numPr>
        <w:spacing w:after="60" w:before="40"/>
      </w:pPr>
      <w:r>
        <w:rPr>
          <w:rFonts w:ascii="Arial" w:cs="Arial" w:eastAsia="Arial" w:hAnsi="Arial"/>
          <w:color w:val="4A4A4A"/>
          <w:sz w:val="20"/>
          <w:szCs w:val="20"/>
        </w:rPr>
        <w:t xml:space="preserve">Drafting internal notes and call summaries from your own notes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0D7C7C" w:sz="1"/>
              <w:left w:val="single" w:color="0D7C7C" w:sz="18"/>
              <w:bottom w:val="single" w:color="0D7C7C" w:sz="1"/>
              <w:right w:val="single" w:color="D0D7DE" w:sz="1"/>
            </w:tcBorders>
            <w:shd w:fill="F2F5F7" w:val="clear"/>
            <w:tcMar>
              <w:top w:type="dxa" w:w="120"/>
              <w:left w:type="dxa" w:w="180"/>
              <w:bottom w:type="dxa" w:w="120"/>
              <w:right w:type="dxa" w:w="180"/>
            </w:tcMar>
          </w:tcPr>
          <w:p>
            <w:pPr>
              <w:spacing w:after="80" w:before="0"/>
            </w:pPr>
            <w:r>
              <w:rPr>
                <w:rFonts w:ascii="Arial" w:cs="Arial" w:eastAsia="Arial" w:hAnsi="Arial"/>
                <w:b/>
                <w:bCs/>
                <w:color w:val="1B3A5C"/>
                <w:sz w:val="20"/>
                <w:szCs w:val="20"/>
              </w:rPr>
              <w:t xml:space="preserve">Important — Review All Client-Facing Communications</w:t>
            </w:r>
          </w:p>
          <w:p>
            <w:pPr>
              <w:spacing w:after="60" w:before="0"/>
            </w:pPr>
            <w:r>
              <w:rPr>
                <w:rFonts w:ascii="Arial" w:cs="Arial" w:eastAsia="Arial" w:hAnsi="Arial"/>
                <w:color w:val="4A4A4A"/>
                <w:sz w:val="19"/>
                <w:szCs w:val="19"/>
              </w:rPr>
              <w:t xml:space="preserve">AI-drafted communications should always be reviewed and personalised before sending. They should read as if you wrote them — because once you send them, you have.</w:t>
            </w:r>
          </w:p>
          <w:p>
            <w:pPr>
              <w:spacing w:after="60" w:before="0"/>
            </w:pPr>
            <w:r>
              <w:rPr>
                <w:rFonts w:ascii="Arial" w:cs="Arial" w:eastAsia="Arial" w:hAnsi="Arial"/>
                <w:color w:val="4A4A4A"/>
                <w:sz w:val="19"/>
                <w:szCs w:val="19"/>
              </w:rPr>
              <w:t xml:space="preserve"/>
            </w:r>
          </w:p>
          <w:p>
            <w:pPr>
              <w:spacing w:after="60" w:before="0"/>
            </w:pPr>
            <w:r>
              <w:rPr>
                <w:rFonts w:ascii="Arial" w:cs="Arial" w:eastAsia="Arial" w:hAnsi="Arial"/>
                <w:color w:val="4A4A4A"/>
                <w:sz w:val="19"/>
                <w:szCs w:val="19"/>
              </w:rPr>
              <w:t xml:space="preserve">Do not send AI-generated communications that include specific legal, financial, or tax representations without attorney or CPA review.</w:t>
            </w:r>
          </w:p>
        </w:tc>
      </w:tr>
    </w:tbl>
    <w:p>
      <w:pPr>
        <w:spacing w:after="120" w:before="0"/>
      </w:pPr>
      <w:r>
        <w:t xml:space="preserve"/>
      </w:r>
    </w:p>
    <w:p>
      <w:pPr>
        <w:pStyle w:val="Heading2"/>
        <w:spacing w:after="100" w:before="280"/>
      </w:pPr>
      <w:r>
        <w:rPr>
          <w:rFonts w:ascii="Arial" w:cs="Arial" w:eastAsia="Arial" w:hAnsi="Arial"/>
          <w:b/>
          <w:bCs/>
          <w:color w:val="0D7C7C"/>
          <w:sz w:val="22"/>
          <w:szCs w:val="22"/>
        </w:rPr>
        <w:t xml:space="preserve">3.4  Administrative &amp; Operational Tasks</w:t>
      </w:r>
    </w:p>
    <w:p>
      <w:pPr>
        <w:pStyle w:val="ListParagraph"/>
        <w:numPr>
          <w:ilvl w:val="0"/>
          <w:numId w:val="2"/>
        </w:numPr>
        <w:spacing w:after="60" w:before="40"/>
      </w:pPr>
      <w:r>
        <w:rPr>
          <w:rFonts w:ascii="Arial" w:cs="Arial" w:eastAsia="Arial" w:hAnsi="Arial"/>
          <w:color w:val="4A4A4A"/>
          <w:sz w:val="20"/>
          <w:szCs w:val="20"/>
        </w:rPr>
        <w:t xml:space="preserve">Creating transaction checklists and milestone trackers from templates</w:t>
      </w:r>
    </w:p>
    <w:p>
      <w:pPr>
        <w:pStyle w:val="ListParagraph"/>
        <w:numPr>
          <w:ilvl w:val="0"/>
          <w:numId w:val="2"/>
        </w:numPr>
        <w:spacing w:after="60" w:before="40"/>
      </w:pPr>
      <w:r>
        <w:rPr>
          <w:rFonts w:ascii="Arial" w:cs="Arial" w:eastAsia="Arial" w:hAnsi="Arial"/>
          <w:color w:val="4A4A4A"/>
          <w:sz w:val="20"/>
          <w:szCs w:val="20"/>
        </w:rPr>
        <w:t xml:space="preserve">Generating meeting agendas, showing schedules, and open house run sheets</w:t>
      </w:r>
    </w:p>
    <w:p>
      <w:pPr>
        <w:pStyle w:val="ListParagraph"/>
        <w:numPr>
          <w:ilvl w:val="0"/>
          <w:numId w:val="2"/>
        </w:numPr>
        <w:spacing w:after="60" w:before="40"/>
      </w:pPr>
      <w:r>
        <w:rPr>
          <w:rFonts w:ascii="Arial" w:cs="Arial" w:eastAsia="Arial" w:hAnsi="Arial"/>
          <w:color w:val="4A4A4A"/>
          <w:sz w:val="20"/>
          <w:szCs w:val="20"/>
        </w:rPr>
        <w:t xml:space="preserve">Drafting training materials and onboarding documents for team members</w:t>
      </w:r>
    </w:p>
    <w:p>
      <w:pPr>
        <w:pStyle w:val="ListParagraph"/>
        <w:numPr>
          <w:ilvl w:val="0"/>
          <w:numId w:val="2"/>
        </w:numPr>
        <w:spacing w:after="60" w:before="40"/>
      </w:pPr>
      <w:r>
        <w:rPr>
          <w:rFonts w:ascii="Arial" w:cs="Arial" w:eastAsia="Arial" w:hAnsi="Arial"/>
          <w:color w:val="4A4A4A"/>
          <w:sz w:val="20"/>
          <w:szCs w:val="20"/>
        </w:rPr>
        <w:t xml:space="preserve">Summarising long email threads (using only non-confidential content — see Section 4.2)</w:t>
      </w:r>
    </w:p>
    <w:p>
      <w:pPr>
        <w:pStyle w:val="ListParagraph"/>
        <w:numPr>
          <w:ilvl w:val="0"/>
          <w:numId w:val="2"/>
        </w:numPr>
        <w:spacing w:after="60" w:before="40"/>
      </w:pPr>
      <w:r>
        <w:rPr>
          <w:rFonts w:ascii="Arial" w:cs="Arial" w:eastAsia="Arial" w:hAnsi="Arial"/>
          <w:color w:val="4A4A4A"/>
          <w:sz w:val="20"/>
          <w:szCs w:val="20"/>
        </w:rPr>
        <w:t xml:space="preserve">Producing first drafts of process documentation for your practice</w:t>
      </w:r>
    </w:p>
    <w:p>
      <w:pPr>
        <w:spacing w:after="60" w:before="0"/>
      </w:pPr>
      <w:r>
        <w:t xml:space="preserve"/>
      </w:r>
    </w:p>
    <w:p>
      <w:pPr>
        <w:pBdr>
          <w:bottom w:val="single" w:color="D0D7DE" w:sz="4" w:space="1"/>
        </w:pBdr>
        <w:spacing w:after="160" w:before="0"/>
      </w:pPr>
      <w:r>
        <w:t xml:space="preserve"/>
      </w:r>
    </w:p>
    <w:p>
      <w:pPr>
        <w:pStyle w:val="Heading1"/>
        <w:pBdr>
          <w:bottom w:val="single" w:color="0D7C7C" w:sz="8" w:space="4"/>
        </w:pBdr>
        <w:spacing w:after="160" w:before="360"/>
      </w:pPr>
      <w:r>
        <w:rPr>
          <w:rFonts w:ascii="Arial" w:cs="Arial" w:eastAsia="Arial" w:hAnsi="Arial"/>
          <w:b/>
          <w:bCs/>
          <w:color w:val="1B3A5C"/>
          <w:sz w:val="28"/>
          <w:szCs w:val="28"/>
        </w:rPr>
        <w:t xml:space="preserve">4.  Uses Requiring Additional Caution</w:t>
      </w:r>
    </w:p>
    <w:p>
      <w:pPr>
        <w:spacing w:after="120" w:before="60"/>
      </w:pPr>
      <w:r>
        <w:rPr>
          <w:rFonts w:ascii="Arial" w:cs="Arial" w:eastAsia="Arial" w:hAnsi="Arial"/>
          <w:color w:val="4A4A4A"/>
          <w:sz w:val="20"/>
          <w:szCs w:val="20"/>
        </w:rPr>
        <w:t xml:space="preserve">The following uses are not prohibited, but carry elevated risk that requires specific mitigations. Each category below identifies the risk and the minimum precautions you should take before proceeding.</w:t>
      </w:r>
    </w:p>
    <w:p>
      <w:pPr>
        <w:pStyle w:val="Heading2"/>
        <w:spacing w:after="100" w:before="280"/>
      </w:pPr>
      <w:r>
        <w:rPr>
          <w:rFonts w:ascii="Arial" w:cs="Arial" w:eastAsia="Arial" w:hAnsi="Arial"/>
          <w:b/>
          <w:bCs/>
          <w:color w:val="0D7C7C"/>
          <w:sz w:val="22"/>
          <w:szCs w:val="22"/>
        </w:rPr>
        <w:t xml:space="preserve">4.1  Automated Valuation Models (AVMs) &amp; Price Opinions</w:t>
      </w:r>
    </w:p>
    <w:p>
      <w:pPr>
        <w:spacing w:after="120" w:before="60"/>
      </w:pPr>
      <w:r>
        <w:rPr>
          <w:rFonts w:ascii="Arial" w:cs="Arial" w:eastAsia="Arial" w:hAnsi="Arial"/>
          <w:color w:val="4A4A4A"/>
          <w:sz w:val="20"/>
          <w:szCs w:val="20"/>
        </w:rPr>
        <w:t xml:space="preserve">AI-powered valuation tools — including those embedded in MLS platforms, brokerage tools, and third-party apps — can provide fast estimates but have material limitations in thin markets, for unique properties, or when recent comp data is sparse.</w:t>
      </w:r>
    </w:p>
    <w:p>
      <w:pPr>
        <w:pStyle w:val="ListParagraph"/>
        <w:numPr>
          <w:ilvl w:val="0"/>
          <w:numId w:val="2"/>
        </w:numPr>
        <w:spacing w:after="60" w:before="40"/>
      </w:pPr>
      <w:r>
        <w:rPr>
          <w:rFonts w:ascii="Arial" w:cs="Arial" w:eastAsia="Arial" w:hAnsi="Arial"/>
          <w:color w:val="4A4A4A"/>
          <w:sz w:val="20"/>
          <w:szCs w:val="20"/>
        </w:rPr>
        <w:t xml:space="preserve">Always disclose to clients when a price estimate was AI-generated or AVM-derived</w:t>
      </w:r>
    </w:p>
    <w:p>
      <w:pPr>
        <w:pStyle w:val="ListParagraph"/>
        <w:numPr>
          <w:ilvl w:val="0"/>
          <w:numId w:val="2"/>
        </w:numPr>
        <w:spacing w:after="60" w:before="40"/>
      </w:pPr>
      <w:r>
        <w:rPr>
          <w:rFonts w:ascii="Arial" w:cs="Arial" w:eastAsia="Arial" w:hAnsi="Arial"/>
          <w:color w:val="4A4A4A"/>
          <w:sz w:val="20"/>
          <w:szCs w:val="20"/>
        </w:rPr>
        <w:t xml:space="preserve">Present AVMs as a starting reference point alongside your professional judgement, not as a standalone recommendation</w:t>
      </w:r>
    </w:p>
    <w:p>
      <w:pPr>
        <w:pStyle w:val="ListParagraph"/>
        <w:numPr>
          <w:ilvl w:val="0"/>
          <w:numId w:val="2"/>
        </w:numPr>
        <w:spacing w:after="60" w:before="40"/>
      </w:pPr>
      <w:r>
        <w:rPr>
          <w:rFonts w:ascii="Arial" w:cs="Arial" w:eastAsia="Arial" w:hAnsi="Arial"/>
          <w:color w:val="4A4A4A"/>
          <w:sz w:val="20"/>
          <w:szCs w:val="20"/>
        </w:rPr>
        <w:t xml:space="preserve">Document in your files that the final price opinion reflects your professional assessment, not the AI output alone</w:t>
      </w:r>
    </w:p>
    <w:p>
      <w:pPr>
        <w:pStyle w:val="ListParagraph"/>
        <w:numPr>
          <w:ilvl w:val="0"/>
          <w:numId w:val="2"/>
        </w:numPr>
        <w:spacing w:after="60" w:before="40"/>
      </w:pPr>
      <w:r>
        <w:rPr>
          <w:rFonts w:ascii="Arial" w:cs="Arial" w:eastAsia="Arial" w:hAnsi="Arial"/>
          <w:color w:val="4A4A4A"/>
          <w:sz w:val="20"/>
          <w:szCs w:val="20"/>
        </w:rPr>
        <w:t xml:space="preserve">Be especially cautious in rural markets, luxury segments, and properties with non-standard features</w:t>
      </w:r>
    </w:p>
    <w:p>
      <w:pPr>
        <w:pStyle w:val="Heading2"/>
        <w:spacing w:after="100" w:before="280"/>
      </w:pPr>
      <w:r>
        <w:rPr>
          <w:rFonts w:ascii="Arial" w:cs="Arial" w:eastAsia="Arial" w:hAnsi="Arial"/>
          <w:b/>
          <w:bCs/>
          <w:color w:val="0D7C7C"/>
          <w:sz w:val="22"/>
          <w:szCs w:val="22"/>
        </w:rPr>
        <w:t xml:space="preserve">4.2  Client Data in AI Tools</w:t>
      </w:r>
    </w:p>
    <w:p>
      <w:pPr>
        <w:spacing w:after="120" w:before="60"/>
      </w:pPr>
      <w:r>
        <w:rPr>
          <w:rFonts w:ascii="Arial" w:cs="Arial" w:eastAsia="Arial" w:hAnsi="Arial"/>
          <w:color w:val="4A4A4A"/>
          <w:sz w:val="20"/>
          <w:szCs w:val="20"/>
        </w:rPr>
        <w:t xml:space="preserve">Most general-purpose AI tools (including popular large language models) are not configured by default to meet real estate industry data confidentiality expectations. Before inputting any client information:</w:t>
      </w:r>
    </w:p>
    <w:p>
      <w:pPr>
        <w:pStyle w:val="ListParagraph"/>
        <w:numPr>
          <w:ilvl w:val="0"/>
          <w:numId w:val="3"/>
        </w:numPr>
        <w:spacing w:after="60" w:before="40"/>
      </w:pPr>
      <w:r>
        <w:rPr>
          <w:rFonts w:ascii="Arial" w:cs="Arial" w:eastAsia="Arial" w:hAnsi="Arial"/>
          <w:color w:val="4A4A4A"/>
          <w:sz w:val="20"/>
          <w:szCs w:val="20"/>
        </w:rPr>
        <w:t xml:space="preserve">Confirm whether the tool retains input data for model training, and whether that can be disabled</w:t>
      </w:r>
    </w:p>
    <w:p>
      <w:pPr>
        <w:pStyle w:val="ListParagraph"/>
        <w:numPr>
          <w:ilvl w:val="0"/>
          <w:numId w:val="3"/>
        </w:numPr>
        <w:spacing w:after="60" w:before="40"/>
      </w:pPr>
      <w:r>
        <w:rPr>
          <w:rFonts w:ascii="Arial" w:cs="Arial" w:eastAsia="Arial" w:hAnsi="Arial"/>
          <w:color w:val="4A4A4A"/>
          <w:sz w:val="20"/>
          <w:szCs w:val="20"/>
        </w:rPr>
        <w:t xml:space="preserve">Verify whether your brokerage has an approved vendor list or AI tool policy in place</w:t>
      </w:r>
    </w:p>
    <w:p>
      <w:pPr>
        <w:pStyle w:val="ListParagraph"/>
        <w:numPr>
          <w:ilvl w:val="0"/>
          <w:numId w:val="3"/>
        </w:numPr>
        <w:spacing w:after="60" w:before="40"/>
      </w:pPr>
      <w:r>
        <w:rPr>
          <w:rFonts w:ascii="Arial" w:cs="Arial" w:eastAsia="Arial" w:hAnsi="Arial"/>
          <w:color w:val="4A4A4A"/>
          <w:sz w:val="20"/>
          <w:szCs w:val="20"/>
        </w:rPr>
        <w:t xml:space="preserve">If in doubt, anonymise or pseudonymise client data before input (e.g., use "Client A" or "the buyer" rather than real names)</w:t>
      </w:r>
    </w:p>
    <w:p>
      <w:pPr>
        <w:pStyle w:val="ListParagraph"/>
        <w:numPr>
          <w:ilvl w:val="0"/>
          <w:numId w:val="3"/>
        </w:numPr>
        <w:spacing w:after="60" w:before="40"/>
      </w:pPr>
      <w:r>
        <w:rPr>
          <w:rFonts w:ascii="Arial" w:cs="Arial" w:eastAsia="Arial" w:hAnsi="Arial"/>
          <w:color w:val="4A4A4A"/>
          <w:sz w:val="20"/>
          <w:szCs w:val="20"/>
        </w:rPr>
        <w:t xml:space="preserve">Never input Social Security numbers, government-issued ID numbers, financial account details, or healthcare information into any AI tool</w:t>
      </w:r>
    </w:p>
    <w:p>
      <w:pPr>
        <w:pStyle w:val="Heading2"/>
        <w:spacing w:after="100" w:before="280"/>
      </w:pPr>
      <w:r>
        <w:rPr>
          <w:rFonts w:ascii="Arial" w:cs="Arial" w:eastAsia="Arial" w:hAnsi="Arial"/>
          <w:b/>
          <w:bCs/>
          <w:color w:val="0D7C7C"/>
          <w:sz w:val="22"/>
          <w:szCs w:val="22"/>
        </w:rPr>
        <w:t xml:space="preserve">4.3  AI-Generated Legal &amp; Contract Language</w:t>
      </w:r>
    </w:p>
    <w:p>
      <w:pPr>
        <w:spacing w:after="120" w:before="60"/>
      </w:pPr>
      <w:r>
        <w:rPr>
          <w:rFonts w:ascii="Arial" w:cs="Arial" w:eastAsia="Arial" w:hAnsi="Arial"/>
          <w:color w:val="4A4A4A"/>
          <w:sz w:val="20"/>
          <w:szCs w:val="20"/>
        </w:rPr>
        <w:t xml:space="preserve">AI tools can generate plausible-sounding contract clauses, addenda, and legal language that may be incorrect, unenforceable, or inconsistent with your state's requirements. Real estate contracts are legal documents with significant financial consequences.</w:t>
      </w:r>
    </w:p>
    <w:p>
      <w:pPr>
        <w:pStyle w:val="ListParagraph"/>
        <w:numPr>
          <w:ilvl w:val="0"/>
          <w:numId w:val="2"/>
        </w:numPr>
        <w:spacing w:after="60" w:before="40"/>
      </w:pPr>
      <w:r>
        <w:rPr>
          <w:rFonts w:ascii="Arial" w:cs="Arial" w:eastAsia="Arial" w:hAnsi="Arial"/>
          <w:color w:val="4A4A4A"/>
          <w:sz w:val="20"/>
          <w:szCs w:val="20"/>
        </w:rPr>
        <w:t xml:space="preserve">Do not use AI-generated contract language without attorney review</w:t>
      </w:r>
    </w:p>
    <w:p>
      <w:pPr>
        <w:pStyle w:val="ListParagraph"/>
        <w:numPr>
          <w:ilvl w:val="0"/>
          <w:numId w:val="2"/>
        </w:numPr>
        <w:spacing w:after="60" w:before="40"/>
      </w:pPr>
      <w:r>
        <w:rPr>
          <w:rFonts w:ascii="Arial" w:cs="Arial" w:eastAsia="Arial" w:hAnsi="Arial"/>
          <w:color w:val="4A4A4A"/>
          <w:sz w:val="20"/>
          <w:szCs w:val="20"/>
        </w:rPr>
        <w:t xml:space="preserve">Standard forms approved by your state association or brokerage may be adapted by AI to fill in blanks — verify all fill-ins are accurate</w:t>
      </w:r>
    </w:p>
    <w:p>
      <w:pPr>
        <w:pStyle w:val="ListParagraph"/>
        <w:numPr>
          <w:ilvl w:val="0"/>
          <w:numId w:val="2"/>
        </w:numPr>
        <w:spacing w:after="60" w:before="40"/>
      </w:pPr>
      <w:r>
        <w:rPr>
          <w:rFonts w:ascii="Arial" w:cs="Arial" w:eastAsia="Arial" w:hAnsi="Arial"/>
          <w:color w:val="4A4A4A"/>
          <w:sz w:val="20"/>
          <w:szCs w:val="20"/>
        </w:rPr>
        <w:t xml:space="preserve">Never represent to a client that AI-generated language is legally approved or standardised unless it has been reviewed by counsel</w:t>
      </w:r>
    </w:p>
    <w:p>
      <w:pPr>
        <w:pStyle w:val="Heading2"/>
        <w:spacing w:after="100" w:before="280"/>
      </w:pPr>
      <w:r>
        <w:rPr>
          <w:rFonts w:ascii="Arial" w:cs="Arial" w:eastAsia="Arial" w:hAnsi="Arial"/>
          <w:b/>
          <w:bCs/>
          <w:color w:val="0D7C7C"/>
          <w:sz w:val="22"/>
          <w:szCs w:val="22"/>
        </w:rPr>
        <w:t xml:space="preserve">4.4  Lead Scoring &amp; Client Prioritisation</w:t>
      </w:r>
    </w:p>
    <w:p>
      <w:pPr>
        <w:spacing w:after="120" w:before="60"/>
      </w:pPr>
      <w:r>
        <w:rPr>
          <w:rFonts w:ascii="Arial" w:cs="Arial" w:eastAsia="Arial" w:hAnsi="Arial"/>
          <w:color w:val="4A4A4A"/>
          <w:sz w:val="20"/>
          <w:szCs w:val="20"/>
        </w:rPr>
        <w:t xml:space="preserve">AI tools that score, rank, or segment leads or clients can inadvertently produce outcomes that correlate with protected class characteristics — particularly when trained on historical data that reflects past discriminatory patterns.</w:t>
      </w:r>
    </w:p>
    <w:p>
      <w:pPr>
        <w:pStyle w:val="ListParagraph"/>
        <w:numPr>
          <w:ilvl w:val="0"/>
          <w:numId w:val="2"/>
        </w:numPr>
        <w:spacing w:after="60" w:before="40"/>
      </w:pPr>
      <w:r>
        <w:rPr>
          <w:rFonts w:ascii="Arial" w:cs="Arial" w:eastAsia="Arial" w:hAnsi="Arial"/>
          <w:color w:val="4A4A4A"/>
          <w:sz w:val="20"/>
          <w:szCs w:val="20"/>
        </w:rPr>
        <w:t xml:space="preserve">Any AI-assisted lead scoring system should be reviewed for fair housing compliance before deployment</w:t>
      </w:r>
    </w:p>
    <w:p>
      <w:pPr>
        <w:pStyle w:val="ListParagraph"/>
        <w:numPr>
          <w:ilvl w:val="0"/>
          <w:numId w:val="2"/>
        </w:numPr>
        <w:spacing w:after="60" w:before="40"/>
      </w:pPr>
      <w:r>
        <w:rPr>
          <w:rFonts w:ascii="Arial" w:cs="Arial" w:eastAsia="Arial" w:hAnsi="Arial"/>
          <w:color w:val="4A4A4A"/>
          <w:sz w:val="20"/>
          <w:szCs w:val="20"/>
        </w:rPr>
        <w:t xml:space="preserve">Do not use AI tools to decide which clients to respond to, how quickly, or with what level of service based on predicted likelihood to close</w:t>
      </w:r>
    </w:p>
    <w:p>
      <w:pPr>
        <w:pStyle w:val="ListParagraph"/>
        <w:numPr>
          <w:ilvl w:val="0"/>
          <w:numId w:val="2"/>
        </w:numPr>
        <w:spacing w:after="60" w:before="40"/>
      </w:pPr>
      <w:r>
        <w:rPr>
          <w:rFonts w:ascii="Arial" w:cs="Arial" w:eastAsia="Arial" w:hAnsi="Arial"/>
          <w:color w:val="4A4A4A"/>
          <w:sz w:val="20"/>
          <w:szCs w:val="20"/>
        </w:rPr>
        <w:t xml:space="preserve">Document your lead-handling process so it can be demonstrated to be consistent and non-discriminatory</w:t>
      </w:r>
    </w:p>
    <w:p>
      <w:pPr>
        <w:spacing w:after="60" w:before="0"/>
      </w:pPr>
      <w:r>
        <w:t xml:space="preserve"/>
      </w:r>
    </w:p>
    <w:p>
      <w:pPr>
        <w:pBdr>
          <w:bottom w:val="single" w:color="D0D7DE" w:sz="4" w:space="1"/>
        </w:pBdr>
        <w:spacing w:after="160" w:before="0"/>
      </w:pPr>
      <w:r>
        <w:t xml:space="preserve"/>
      </w:r>
    </w:p>
    <w:p>
      <w:pPr>
        <w:pStyle w:val="Heading1"/>
        <w:pBdr>
          <w:bottom w:val="single" w:color="0D7C7C" w:sz="8" w:space="4"/>
        </w:pBdr>
        <w:spacing w:after="160" w:before="360"/>
      </w:pPr>
      <w:r>
        <w:rPr>
          <w:rFonts w:ascii="Arial" w:cs="Arial" w:eastAsia="Arial" w:hAnsi="Arial"/>
          <w:b/>
          <w:bCs/>
          <w:color w:val="1B3A5C"/>
          <w:sz w:val="28"/>
          <w:szCs w:val="28"/>
        </w:rPr>
        <w:t xml:space="preserve">5.  Prohibited Uses</w:t>
      </w:r>
    </w:p>
    <w:p>
      <w:pPr>
        <w:spacing w:after="120" w:before="60"/>
      </w:pPr>
      <w:r>
        <w:rPr>
          <w:rFonts w:ascii="Arial" w:cs="Arial" w:eastAsia="Arial" w:hAnsi="Arial"/>
          <w:color w:val="4A4A4A"/>
          <w:sz w:val="20"/>
          <w:szCs w:val="20"/>
        </w:rPr>
        <w:t xml:space="preserve">The following uses are incompatible with ethical real estate practice, fair housing law, professional licensing obligations, or client data protection requirements. They should not be undertaken regardless of the AI tool involved.</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D0D7DE" w:sz="1"/>
              <w:left w:val="single" w:color="D0D7DE" w:sz="1"/>
              <w:bottom w:val="single" w:color="D0D7DE" w:sz="1"/>
              <w:right w:val="single" w:color="D0D7DE" w:sz="1"/>
            </w:tcBorders>
            <w:shd w:fill="1B3A5C" w:val="clear"/>
            <w:tcMar>
              <w:top w:type="dxa" w:w="80"/>
              <w:left w:type="dxa" w:w="120"/>
              <w:bottom w:type="dxa" w:w="80"/>
              <w:right w:type="dxa" w:w="120"/>
            </w:tcMar>
            <w:vAlign w:val="top"/>
          </w:tcPr>
          <w:p>
            <w:r>
              <w:rPr>
                <w:rFonts w:ascii="Arial" w:cs="Arial" w:eastAsia="Arial" w:hAnsi="Arial"/>
                <w:b/>
                <w:bCs/>
                <w:color w:val="FFFFFF"/>
                <w:sz w:val="19"/>
                <w:szCs w:val="19"/>
              </w:rPr>
              <w:t xml:space="preserve">Prohibited Use</w:t>
            </w:r>
          </w:p>
        </w:tc>
        <w:tc>
          <w:tcPr>
            <w:tcW w:type="dxa" w:w="6560"/>
            <w:tcBorders>
              <w:top w:val="single" w:color="D0D7DE" w:sz="1"/>
              <w:left w:val="single" w:color="D0D7DE" w:sz="1"/>
              <w:bottom w:val="single" w:color="D0D7DE" w:sz="1"/>
              <w:right w:val="single" w:color="D0D7DE" w:sz="1"/>
            </w:tcBorders>
            <w:shd w:fill="1B3A5C" w:val="clear"/>
            <w:tcMar>
              <w:top w:type="dxa" w:w="80"/>
              <w:left w:type="dxa" w:w="120"/>
              <w:bottom w:type="dxa" w:w="80"/>
              <w:right w:type="dxa" w:w="120"/>
            </w:tcMar>
            <w:vAlign w:val="top"/>
          </w:tcPr>
          <w:p>
            <w:r>
              <w:rPr>
                <w:rFonts w:ascii="Arial" w:cs="Arial" w:eastAsia="Arial" w:hAnsi="Arial"/>
                <w:b/>
                <w:bCs/>
                <w:color w:val="FFFFFF"/>
                <w:sz w:val="19"/>
                <w:szCs w:val="19"/>
              </w:rPr>
              <w:t xml:space="preserve">Why It Is Prohibited</w:t>
            </w:r>
          </w:p>
        </w:tc>
      </w:tr>
      <w:tr>
        <w:trPr>
          <w:tblHeader w:val="false"/>
        </w:trPr>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Using AI to screen, filter, or steer clients based on characteristics that correlate with protected classes (race, colour, religion, sex, national origin, disability, familial status, and state-specific additions)</w:t>
            </w:r>
          </w:p>
        </w:tc>
        <w:tc>
          <w:tcPr>
            <w:tcW w:type="dxa" w:w="65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Direct violation of the Fair Housing Act and equivalent state statutes. Steering is illegal regardless of whether a human or algorithm executes it.</w:t>
            </w:r>
          </w:p>
        </w:tc>
      </w:tr>
      <w:tr>
        <w:trPr>
          <w:tblHeader w:val="false"/>
        </w:trPr>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Inputting client SSNs, government IDs, financial account numbers, or health information into AI tools not approved for that data type</w:t>
            </w:r>
          </w:p>
        </w:tc>
        <w:tc>
          <w:tcPr>
            <w:tcW w:type="dxa" w:w="65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Creates significant data breach liability and may violate state privacy laws (including CCPA in California and equivalent statutes in other states).</w:t>
            </w:r>
          </w:p>
        </w:tc>
      </w:tr>
      <w:tr>
        <w:trPr>
          <w:tblHeader w:val="false"/>
        </w:trPr>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Publishing AI-generated content — listings, social posts, market reports — without factual review</w:t>
            </w:r>
          </w:p>
        </w:tc>
        <w:tc>
          <w:tcPr>
            <w:tcW w:type="dxa" w:w="65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Material misrepresentation risk. You are legally responsible for the accuracy of content you publish, regardless of its source.</w:t>
            </w:r>
          </w:p>
        </w:tc>
      </w:tr>
      <w:tr>
        <w:trPr>
          <w:tblHeader w:val="false"/>
        </w:trPr>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Representing to clients that AI-generated advice is professional, legal, or regulatory guidance</w:t>
            </w:r>
          </w:p>
        </w:tc>
        <w:tc>
          <w:tcPr>
            <w:tcW w:type="dxa" w:w="65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AI tools are not licensed professionals. Representations to the contrary may constitute unauthorised practice of law or fraud.</w:t>
            </w:r>
          </w:p>
        </w:tc>
      </w:tr>
      <w:tr>
        <w:trPr>
          <w:tblHeader w:val="false"/>
        </w:trPr>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Using AI to generate or modify disclosures, inspection reports, or closing documents without attorney review and your manual verification</w:t>
            </w:r>
          </w:p>
        </w:tc>
        <w:tc>
          <w:tcPr>
            <w:tcW w:type="dxa" w:w="65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Disclosure errors can create rescission rights, licensing complaints, and civil liability.</w:t>
            </w:r>
          </w:p>
        </w:tc>
      </w:tr>
      <w:tr>
        <w:trPr>
          <w:tblHeader w:val="false"/>
        </w:trPr>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Deploying AI-generated communications without any human review when representing a client in an active transaction</w:t>
            </w:r>
          </w:p>
        </w:tc>
        <w:tc>
          <w:tcPr>
            <w:tcW w:type="dxa" w:w="65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Active transaction communications are part of your professional fiduciary duty. They require your judgement, not delegation to an algorithm.</w:t>
            </w:r>
          </w:p>
        </w:tc>
      </w:tr>
    </w:tbl>
    <w:p>
      <w:pPr>
        <w:spacing w:after="160" w:before="0"/>
      </w:pPr>
      <w:r>
        <w:t xml:space="preserve"/>
      </w:r>
    </w:p>
    <w:p>
      <w:pPr>
        <w:pBdr>
          <w:bottom w:val="single" w:color="D0D7DE" w:sz="4" w:space="1"/>
        </w:pBdr>
        <w:spacing w:after="160" w:before="0"/>
      </w:pPr>
      <w:r>
        <w:t xml:space="preserve"/>
      </w:r>
    </w:p>
    <w:p>
      <w:pPr>
        <w:pStyle w:val="Heading1"/>
        <w:pBdr>
          <w:bottom w:val="single" w:color="0D7C7C" w:sz="8" w:space="4"/>
        </w:pBdr>
        <w:spacing w:after="160" w:before="360"/>
      </w:pPr>
      <w:r>
        <w:rPr>
          <w:rFonts w:ascii="Arial" w:cs="Arial" w:eastAsia="Arial" w:hAnsi="Arial"/>
          <w:b/>
          <w:bCs/>
          <w:color w:val="1B3A5C"/>
          <w:sz w:val="28"/>
          <w:szCs w:val="28"/>
        </w:rPr>
        <w:t xml:space="preserve">6.  Fair Housing Considerations</w:t>
      </w:r>
    </w:p>
    <w:p>
      <w:pPr>
        <w:spacing w:after="120" w:before="60"/>
      </w:pPr>
      <w:r>
        <w:rPr>
          <w:rFonts w:ascii="Arial" w:cs="Arial" w:eastAsia="Arial" w:hAnsi="Arial"/>
          <w:color w:val="4A4A4A"/>
          <w:sz w:val="20"/>
          <w:szCs w:val="20"/>
        </w:rPr>
        <w:t xml:space="preserve">Fair housing compliance is the single highest-stakes area where AI intersects with real estate practice. The US Department of Housing and Urban Development (HUD) has issued guidance applying the Fair Housing Act to algorithmic tools, and enforcement activity in this area is increasing.</w:t>
      </w:r>
    </w:p>
    <w:p>
      <w:pPr>
        <w:pStyle w:val="Heading2"/>
        <w:spacing w:after="100" w:before="280"/>
      </w:pPr>
      <w:r>
        <w:rPr>
          <w:rFonts w:ascii="Arial" w:cs="Arial" w:eastAsia="Arial" w:hAnsi="Arial"/>
          <w:b/>
          <w:bCs/>
          <w:color w:val="0D7C7C"/>
          <w:sz w:val="22"/>
          <w:szCs w:val="22"/>
        </w:rPr>
        <w:t xml:space="preserve">6.1  How AI Can Create Fair Housing Risk</w:t>
      </w:r>
    </w:p>
    <w:p>
      <w:pPr>
        <w:pStyle w:val="ListParagraph"/>
        <w:numPr>
          <w:ilvl w:val="0"/>
          <w:numId w:val="2"/>
        </w:numPr>
        <w:spacing w:after="60" w:before="40"/>
      </w:pPr>
      <w:r>
        <w:rPr>
          <w:rFonts w:ascii="Arial" w:cs="Arial" w:eastAsia="Arial" w:hAnsi="Arial"/>
          <w:color w:val="4A4A4A"/>
          <w:sz w:val="20"/>
          <w:szCs w:val="20"/>
        </w:rPr>
        <w:t xml:space="preserve">Language models trained on internet data may reproduce stereotyped descriptions of neighbourhoods, schools, or communities — even when the prompt contains no discriminatory intent</w:t>
      </w:r>
    </w:p>
    <w:p>
      <w:pPr>
        <w:pStyle w:val="ListParagraph"/>
        <w:numPr>
          <w:ilvl w:val="0"/>
          <w:numId w:val="2"/>
        </w:numPr>
        <w:spacing w:after="60" w:before="40"/>
      </w:pPr>
      <w:r>
        <w:rPr>
          <w:rFonts w:ascii="Arial" w:cs="Arial" w:eastAsia="Arial" w:hAnsi="Arial"/>
          <w:color w:val="4A4A4A"/>
          <w:sz w:val="20"/>
          <w:szCs w:val="20"/>
        </w:rPr>
        <w:t xml:space="preserve">Listing descriptions that emphasise proximity to religious institutions, describe neighbourhood demographics, or use coded language ("good schools," "quiet neighbourhood") can implicate steering obligations</w:t>
      </w:r>
    </w:p>
    <w:p>
      <w:pPr>
        <w:pStyle w:val="ListParagraph"/>
        <w:numPr>
          <w:ilvl w:val="0"/>
          <w:numId w:val="2"/>
        </w:numPr>
        <w:spacing w:after="60" w:before="40"/>
      </w:pPr>
      <w:r>
        <w:rPr>
          <w:rFonts w:ascii="Arial" w:cs="Arial" w:eastAsia="Arial" w:hAnsi="Arial"/>
          <w:color w:val="4A4A4A"/>
          <w:sz w:val="20"/>
          <w:szCs w:val="20"/>
        </w:rPr>
        <w:t xml:space="preserve">Automated valuation and recommendation tools may produce outputs that differ systematically by geography in ways that correlate with race or national origin</w:t>
      </w:r>
    </w:p>
    <w:p>
      <w:pPr>
        <w:pStyle w:val="ListParagraph"/>
        <w:numPr>
          <w:ilvl w:val="0"/>
          <w:numId w:val="2"/>
        </w:numPr>
        <w:spacing w:after="60" w:before="40"/>
      </w:pPr>
      <w:r>
        <w:rPr>
          <w:rFonts w:ascii="Arial" w:cs="Arial" w:eastAsia="Arial" w:hAnsi="Arial"/>
          <w:color w:val="4A4A4A"/>
          <w:sz w:val="20"/>
          <w:szCs w:val="20"/>
        </w:rPr>
        <w:t xml:space="preserve">AI-generated images used in marketing may underrepresent or overrepresent particular demographic groups</w:t>
      </w:r>
    </w:p>
    <w:p>
      <w:pPr>
        <w:pStyle w:val="Heading2"/>
        <w:spacing w:after="100" w:before="280"/>
      </w:pPr>
      <w:r>
        <w:rPr>
          <w:rFonts w:ascii="Arial" w:cs="Arial" w:eastAsia="Arial" w:hAnsi="Arial"/>
          <w:b/>
          <w:bCs/>
          <w:color w:val="0D7C7C"/>
          <w:sz w:val="22"/>
          <w:szCs w:val="22"/>
        </w:rPr>
        <w:t xml:space="preserve">6.2  Minimum Fair Housing Safeguards for AI Use</w:t>
      </w:r>
    </w:p>
    <w:p>
      <w:pPr>
        <w:pStyle w:val="ListParagraph"/>
        <w:numPr>
          <w:ilvl w:val="0"/>
          <w:numId w:val="3"/>
        </w:numPr>
        <w:spacing w:after="60" w:before="40"/>
      </w:pPr>
      <w:r>
        <w:rPr>
          <w:rFonts w:ascii="Arial" w:cs="Arial" w:eastAsia="Arial" w:hAnsi="Arial"/>
          <w:color w:val="4A4A4A"/>
          <w:sz w:val="20"/>
          <w:szCs w:val="20"/>
        </w:rPr>
        <w:t xml:space="preserve">Review all AI-generated listing and neighbourhood descriptions for language that references, implies, or could be interpreted to relate to protected class characteristics</w:t>
      </w:r>
    </w:p>
    <w:p>
      <w:pPr>
        <w:pStyle w:val="ListParagraph"/>
        <w:numPr>
          <w:ilvl w:val="0"/>
          <w:numId w:val="3"/>
        </w:numPr>
        <w:spacing w:after="60" w:before="40"/>
      </w:pPr>
      <w:r>
        <w:rPr>
          <w:rFonts w:ascii="Arial" w:cs="Arial" w:eastAsia="Arial" w:hAnsi="Arial"/>
          <w:color w:val="4A4A4A"/>
          <w:sz w:val="20"/>
          <w:szCs w:val="20"/>
        </w:rPr>
        <w:t xml:space="preserve">Do not include demographic descriptions of neighbourhoods, schools, or communities in listing marketing — AI tools have a tendency to generate this content; it must be removed</w:t>
      </w:r>
    </w:p>
    <w:p>
      <w:pPr>
        <w:pStyle w:val="ListParagraph"/>
        <w:numPr>
          <w:ilvl w:val="0"/>
          <w:numId w:val="3"/>
        </w:numPr>
        <w:spacing w:after="60" w:before="40"/>
      </w:pPr>
      <w:r>
        <w:rPr>
          <w:rFonts w:ascii="Arial" w:cs="Arial" w:eastAsia="Arial" w:hAnsi="Arial"/>
          <w:color w:val="4A4A4A"/>
          <w:sz w:val="20"/>
          <w:szCs w:val="20"/>
        </w:rPr>
        <w:t xml:space="preserve">Apply the same response time, communication quality, and service level to all clients regardless of any AI-generated score or categorisation</w:t>
      </w:r>
    </w:p>
    <w:p>
      <w:pPr>
        <w:pStyle w:val="ListParagraph"/>
        <w:numPr>
          <w:ilvl w:val="0"/>
          <w:numId w:val="3"/>
        </w:numPr>
        <w:spacing w:after="60" w:before="40"/>
      </w:pPr>
      <w:r>
        <w:rPr>
          <w:rFonts w:ascii="Arial" w:cs="Arial" w:eastAsia="Arial" w:hAnsi="Arial"/>
          <w:color w:val="4A4A4A"/>
          <w:sz w:val="20"/>
          <w:szCs w:val="20"/>
        </w:rPr>
        <w:t xml:space="preserve">If your brokerage uses an AI tool for client matching, lead routing, or recommendation generation, request documentation of how the tool was tested for disparate impact</w:t>
      </w:r>
    </w:p>
    <w:p>
      <w:pPr>
        <w:pStyle w:val="ListParagraph"/>
        <w:numPr>
          <w:ilvl w:val="0"/>
          <w:numId w:val="3"/>
        </w:numPr>
        <w:spacing w:after="60" w:before="40"/>
      </w:pPr>
      <w:r>
        <w:rPr>
          <w:rFonts w:ascii="Arial" w:cs="Arial" w:eastAsia="Arial" w:hAnsi="Arial"/>
          <w:color w:val="4A4A4A"/>
          <w:sz w:val="20"/>
          <w:szCs w:val="20"/>
        </w:rPr>
        <w:t xml:space="preserve">Maintain records of your AI use in client-facing workflows sufficient to demonstrate consistent, non-discriminatory treatment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0D7C7C" w:sz="1"/>
              <w:left w:val="single" w:color="0D7C7C" w:sz="18"/>
              <w:bottom w:val="single" w:color="0D7C7C" w:sz="1"/>
              <w:right w:val="single" w:color="D0D7DE" w:sz="1"/>
            </w:tcBorders>
            <w:shd w:fill="F2F5F7" w:val="clear"/>
            <w:tcMar>
              <w:top w:type="dxa" w:w="120"/>
              <w:left w:type="dxa" w:w="180"/>
              <w:bottom w:type="dxa" w:w="120"/>
              <w:right w:type="dxa" w:w="180"/>
            </w:tcMar>
          </w:tcPr>
          <w:p>
            <w:pPr>
              <w:spacing w:after="80" w:before="0"/>
            </w:pPr>
            <w:r>
              <w:rPr>
                <w:rFonts w:ascii="Arial" w:cs="Arial" w:eastAsia="Arial" w:hAnsi="Arial"/>
                <w:b/>
                <w:bCs/>
                <w:color w:val="1B3A5C"/>
                <w:sz w:val="20"/>
                <w:szCs w:val="20"/>
              </w:rPr>
              <w:t xml:space="preserve">State-Specific Note — Fair Housing</w:t>
            </w:r>
          </w:p>
          <w:p>
            <w:pPr>
              <w:spacing w:after="60" w:before="0"/>
            </w:pPr>
            <w:r>
              <w:rPr>
                <w:rFonts w:ascii="Arial" w:cs="Arial" w:eastAsia="Arial" w:hAnsi="Arial"/>
                <w:color w:val="4A4A4A"/>
                <w:sz w:val="19"/>
                <w:szCs w:val="19"/>
              </w:rPr>
              <w:t xml:space="preserve">California, Illinois, New York, and Washington have state-level fair housing protections that extend beyond the federal Fair Housing Act, including additional protected classes. Colorado and Minnesota have also enacted legislation touching on algorithmic decision-making. Check your state's current requirements with a licensed attorney.</w:t>
            </w:r>
          </w:p>
        </w:tc>
      </w:tr>
    </w:tbl>
    <w:p>
      <w:pPr>
        <w:spacing w:after="120" w:before="0"/>
      </w:pPr>
      <w:r>
        <w:t xml:space="preserve"/>
      </w:r>
    </w:p>
    <w:p>
      <w:pPr>
        <w:spacing w:after="60" w:before="0"/>
      </w:pPr>
      <w:r>
        <w:t xml:space="preserve"/>
      </w:r>
    </w:p>
    <w:p>
      <w:pPr>
        <w:pBdr>
          <w:bottom w:val="single" w:color="D0D7DE" w:sz="4" w:space="1"/>
        </w:pBdr>
        <w:spacing w:after="160" w:before="0"/>
      </w:pPr>
      <w:r>
        <w:t xml:space="preserve"/>
      </w:r>
    </w:p>
    <w:p>
      <w:pPr>
        <w:pStyle w:val="Heading1"/>
        <w:pBdr>
          <w:bottom w:val="single" w:color="0D7C7C" w:sz="8" w:space="4"/>
        </w:pBdr>
        <w:spacing w:after="160" w:before="360"/>
      </w:pPr>
      <w:r>
        <w:rPr>
          <w:rFonts w:ascii="Arial" w:cs="Arial" w:eastAsia="Arial" w:hAnsi="Arial"/>
          <w:b/>
          <w:bCs/>
          <w:color w:val="1B3A5C"/>
          <w:sz w:val="28"/>
          <w:szCs w:val="28"/>
        </w:rPr>
        <w:t xml:space="preserve">7.  Data Handling Requirements</w:t>
      </w:r>
    </w:p>
    <w:p>
      <w:pPr>
        <w:spacing w:after="120" w:before="60"/>
      </w:pPr>
      <w:r>
        <w:rPr>
          <w:rFonts w:ascii="Arial" w:cs="Arial" w:eastAsia="Arial" w:hAnsi="Arial"/>
          <w:color w:val="4A4A4A"/>
          <w:sz w:val="20"/>
          <w:szCs w:val="20"/>
        </w:rPr>
        <w:t xml:space="preserve">Real estate transactions involve some of the most sensitive personal and financial information that clients ever share. AI tool use creates new vectors through which that data can be exposed, retained, or misused.</w:t>
      </w:r>
    </w:p>
    <w:p>
      <w:pPr>
        <w:pStyle w:val="Heading2"/>
        <w:spacing w:after="100" w:before="280"/>
      </w:pPr>
      <w:r>
        <w:rPr>
          <w:rFonts w:ascii="Arial" w:cs="Arial" w:eastAsia="Arial" w:hAnsi="Arial"/>
          <w:b/>
          <w:bCs/>
          <w:color w:val="0D7C7C"/>
          <w:sz w:val="22"/>
          <w:szCs w:val="22"/>
        </w:rPr>
        <w:t xml:space="preserve">7.1  What Should Never Go Into an AI Tool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D0D7DE" w:sz="1"/>
              <w:left w:val="single" w:color="D0D7DE" w:sz="1"/>
              <w:bottom w:val="single" w:color="D0D7DE" w:sz="1"/>
              <w:right w:val="single" w:color="D0D7DE" w:sz="1"/>
            </w:tcBorders>
            <w:shd w:fill="1B3A5C" w:val="clear"/>
            <w:tcMar>
              <w:top w:type="dxa" w:w="80"/>
              <w:left w:type="dxa" w:w="120"/>
              <w:bottom w:type="dxa" w:w="80"/>
              <w:right w:type="dxa" w:w="120"/>
            </w:tcMar>
            <w:vAlign w:val="top"/>
          </w:tcPr>
          <w:p>
            <w:r>
              <w:rPr>
                <w:rFonts w:ascii="Arial" w:cs="Arial" w:eastAsia="Arial" w:hAnsi="Arial"/>
                <w:b/>
                <w:bCs/>
                <w:color w:val="FFFFFF"/>
                <w:sz w:val="19"/>
                <w:szCs w:val="19"/>
              </w:rPr>
              <w:t xml:space="preserve">Data Type</w:t>
            </w:r>
          </w:p>
        </w:tc>
        <w:tc>
          <w:tcPr>
            <w:tcW w:type="dxa" w:w="6160"/>
            <w:tcBorders>
              <w:top w:val="single" w:color="D0D7DE" w:sz="1"/>
              <w:left w:val="single" w:color="D0D7DE" w:sz="1"/>
              <w:bottom w:val="single" w:color="D0D7DE" w:sz="1"/>
              <w:right w:val="single" w:color="D0D7DE" w:sz="1"/>
            </w:tcBorders>
            <w:shd w:fill="1B3A5C" w:val="clear"/>
            <w:tcMar>
              <w:top w:type="dxa" w:w="80"/>
              <w:left w:type="dxa" w:w="120"/>
              <w:bottom w:type="dxa" w:w="80"/>
              <w:right w:type="dxa" w:w="120"/>
            </w:tcMar>
            <w:vAlign w:val="top"/>
          </w:tcPr>
          <w:p>
            <w:r>
              <w:rPr>
                <w:rFonts w:ascii="Arial" w:cs="Arial" w:eastAsia="Arial" w:hAnsi="Arial"/>
                <w:b/>
                <w:bCs/>
                <w:color w:val="FFFFFF"/>
                <w:sz w:val="19"/>
                <w:szCs w:val="19"/>
              </w:rPr>
              <w:t xml:space="preserve">Why It Must Be Protected</w:t>
            </w:r>
          </w:p>
        </w:tc>
      </w:tr>
      <w:tr>
        <w:trPr>
          <w:tblHeader w:val="false"/>
        </w:trPr>
        <w:tc>
          <w:tcPr>
            <w:tcW w:type="dxa" w:w="32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Social Security / Tax ID Numbers</w:t>
            </w:r>
          </w:p>
        </w:tc>
        <w:tc>
          <w:tcPr>
            <w:tcW w:type="dxa" w:w="61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Highest-sensitivity PII. Breach creates identity theft risk and significant regulatory liability.</w:t>
            </w:r>
          </w:p>
        </w:tc>
      </w:tr>
      <w:tr>
        <w:trPr>
          <w:tblHeader w:val="false"/>
        </w:trPr>
        <w:tc>
          <w:tcPr>
            <w:tcW w:type="dxa" w:w="32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Financial account numbers (bank, mortgage, credit)</w:t>
            </w:r>
          </w:p>
        </w:tc>
        <w:tc>
          <w:tcPr>
            <w:tcW w:type="dxa" w:w="61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Highly sensitive financial data. Not appropriate for any general-purpose AI tool.</w:t>
            </w:r>
          </w:p>
        </w:tc>
      </w:tr>
      <w:tr>
        <w:trPr>
          <w:tblHeader w:val="false"/>
        </w:trPr>
        <w:tc>
          <w:tcPr>
            <w:tcW w:type="dxa" w:w="32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Driver's licence / government-issued ID numbers</w:t>
            </w:r>
          </w:p>
        </w:tc>
        <w:tc>
          <w:tcPr>
            <w:tcW w:type="dxa" w:w="61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Protected under state privacy laws including California's CCPA and equivalents.</w:t>
            </w:r>
          </w:p>
        </w:tc>
      </w:tr>
      <w:tr>
        <w:trPr>
          <w:tblHeader w:val="false"/>
        </w:trPr>
        <w:tc>
          <w:tcPr>
            <w:tcW w:type="dxa" w:w="32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Health or disability information</w:t>
            </w:r>
          </w:p>
        </w:tc>
        <w:tc>
          <w:tcPr>
            <w:tcW w:type="dxa" w:w="61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Protected under ADA and fair housing law. Never relevant to document in AI tools.</w:t>
            </w:r>
          </w:p>
        </w:tc>
      </w:tr>
      <w:tr>
        <w:trPr>
          <w:tblHeader w:val="false"/>
        </w:trPr>
        <w:tc>
          <w:tcPr>
            <w:tcW w:type="dxa" w:w="32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Immigration status</w:t>
            </w:r>
          </w:p>
        </w:tc>
        <w:tc>
          <w:tcPr>
            <w:tcW w:type="dxa" w:w="61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Protected class in many states. Retention in AI tools creates legal and ethical risk.</w:t>
            </w:r>
          </w:p>
        </w:tc>
      </w:tr>
      <w:tr>
        <w:trPr>
          <w:tblHeader w:val="false"/>
        </w:trPr>
        <w:tc>
          <w:tcPr>
            <w:tcW w:type="dxa" w:w="32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Passwords or security credentials</w:t>
            </w:r>
          </w:p>
        </w:tc>
        <w:tc>
          <w:tcPr>
            <w:tcW w:type="dxa" w:w="61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Self-evidently inappropriate for any external tool input.</w:t>
            </w:r>
          </w:p>
        </w:tc>
      </w:tr>
    </w:tbl>
    <w:p>
      <w:pPr>
        <w:spacing w:after="120" w:before="0"/>
      </w:pPr>
      <w:r>
        <w:t xml:space="preserve"/>
      </w:r>
    </w:p>
    <w:p>
      <w:pPr>
        <w:pStyle w:val="Heading2"/>
        <w:spacing w:after="100" w:before="280"/>
      </w:pPr>
      <w:r>
        <w:rPr>
          <w:rFonts w:ascii="Arial" w:cs="Arial" w:eastAsia="Arial" w:hAnsi="Arial"/>
          <w:b/>
          <w:bCs/>
          <w:color w:val="0D7C7C"/>
          <w:sz w:val="22"/>
          <w:szCs w:val="22"/>
        </w:rPr>
        <w:t xml:space="preserve">7.2  Handling Client Information in AI Tools</w:t>
      </w:r>
    </w:p>
    <w:p>
      <w:pPr>
        <w:spacing w:after="120" w:before="60"/>
      </w:pPr>
      <w:r>
        <w:rPr>
          <w:rFonts w:ascii="Arial" w:cs="Arial" w:eastAsia="Arial" w:hAnsi="Arial"/>
          <w:color w:val="4A4A4A"/>
          <w:sz w:val="20"/>
          <w:szCs w:val="20"/>
        </w:rPr>
        <w:t xml:space="preserve">When you need to use AI to assist with a task that involves client context, apply the following approach:</w:t>
      </w:r>
    </w:p>
    <w:p>
      <w:pPr>
        <w:pStyle w:val="ListParagraph"/>
        <w:numPr>
          <w:ilvl w:val="0"/>
          <w:numId w:val="3"/>
        </w:numPr>
        <w:spacing w:after="60" w:before="40"/>
      </w:pPr>
      <w:r>
        <w:rPr>
          <w:rFonts w:ascii="Arial" w:cs="Arial" w:eastAsia="Arial" w:hAnsi="Arial"/>
          <w:color w:val="4A4A4A"/>
          <w:sz w:val="20"/>
          <w:szCs w:val="20"/>
        </w:rPr>
        <w:t xml:space="preserve">Anonymise where possible: use "my buyer client" rather than the client's name</w:t>
      </w:r>
    </w:p>
    <w:p>
      <w:pPr>
        <w:pStyle w:val="ListParagraph"/>
        <w:numPr>
          <w:ilvl w:val="0"/>
          <w:numId w:val="3"/>
        </w:numPr>
        <w:spacing w:after="60" w:before="40"/>
      </w:pPr>
      <w:r>
        <w:rPr>
          <w:rFonts w:ascii="Arial" w:cs="Arial" w:eastAsia="Arial" w:hAnsi="Arial"/>
          <w:color w:val="4A4A4A"/>
          <w:sz w:val="20"/>
          <w:szCs w:val="20"/>
        </w:rPr>
        <w:t xml:space="preserve">Use only the minimum information necessary for the task</w:t>
      </w:r>
    </w:p>
    <w:p>
      <w:pPr>
        <w:pStyle w:val="ListParagraph"/>
        <w:numPr>
          <w:ilvl w:val="0"/>
          <w:numId w:val="3"/>
        </w:numPr>
        <w:spacing w:after="60" w:before="40"/>
      </w:pPr>
      <w:r>
        <w:rPr>
          <w:rFonts w:ascii="Arial" w:cs="Arial" w:eastAsia="Arial" w:hAnsi="Arial"/>
          <w:color w:val="4A4A4A"/>
          <w:sz w:val="20"/>
          <w:szCs w:val="20"/>
        </w:rPr>
        <w:t xml:space="preserve">Confirm the tool's data retention settings before use — many tools offer settings to disable training data collection</w:t>
      </w:r>
    </w:p>
    <w:p>
      <w:pPr>
        <w:pStyle w:val="ListParagraph"/>
        <w:numPr>
          <w:ilvl w:val="0"/>
          <w:numId w:val="3"/>
        </w:numPr>
        <w:spacing w:after="60" w:before="40"/>
      </w:pPr>
      <w:r>
        <w:rPr>
          <w:rFonts w:ascii="Arial" w:cs="Arial" w:eastAsia="Arial" w:hAnsi="Arial"/>
          <w:color w:val="4A4A4A"/>
          <w:sz w:val="20"/>
          <w:szCs w:val="20"/>
        </w:rPr>
        <w:t xml:space="preserve">Do not screenshot, export, or share AI conversation logs that contain client information</w:t>
      </w:r>
    </w:p>
    <w:p>
      <w:pPr>
        <w:pStyle w:val="ListParagraph"/>
        <w:numPr>
          <w:ilvl w:val="0"/>
          <w:numId w:val="3"/>
        </w:numPr>
        <w:spacing w:after="60" w:before="40"/>
      </w:pPr>
      <w:r>
        <w:rPr>
          <w:rFonts w:ascii="Arial" w:cs="Arial" w:eastAsia="Arial" w:hAnsi="Arial"/>
          <w:color w:val="4A4A4A"/>
          <w:sz w:val="20"/>
          <w:szCs w:val="20"/>
        </w:rPr>
        <w:t xml:space="preserve">If your brokerage has a data classification framework, apply it to AI tool use decisions</w:t>
      </w:r>
    </w:p>
    <w:p>
      <w:pPr>
        <w:pStyle w:val="Heading2"/>
        <w:spacing w:after="100" w:before="280"/>
      </w:pPr>
      <w:r>
        <w:rPr>
          <w:rFonts w:ascii="Arial" w:cs="Arial" w:eastAsia="Arial" w:hAnsi="Arial"/>
          <w:b/>
          <w:bCs/>
          <w:color w:val="0D7C7C"/>
          <w:sz w:val="22"/>
          <w:szCs w:val="22"/>
        </w:rPr>
        <w:t xml:space="preserve">7.3  Tool Vetting Checklist</w:t>
      </w:r>
    </w:p>
    <w:p>
      <w:pPr>
        <w:spacing w:after="120" w:before="60"/>
      </w:pPr>
      <w:r>
        <w:rPr>
          <w:rFonts w:ascii="Arial" w:cs="Arial" w:eastAsia="Arial" w:hAnsi="Arial"/>
          <w:color w:val="4A4A4A"/>
          <w:sz w:val="20"/>
          <w:szCs w:val="20"/>
        </w:rPr>
        <w:t xml:space="preserve">Before adopting a new AI tool in your practice, work through the following minimum checks:</w:t>
      </w:r>
    </w:p>
    <w:p>
      <w:pPr>
        <w:pStyle w:val="ListParagraph"/>
        <w:numPr>
          <w:ilvl w:val="0"/>
          <w:numId w:val="2"/>
        </w:numPr>
        <w:spacing w:after="60" w:before="40"/>
      </w:pPr>
      <w:r>
        <w:rPr>
          <w:rFonts w:ascii="Arial" w:cs="Arial" w:eastAsia="Arial" w:hAnsi="Arial"/>
          <w:color w:val="4A4A4A"/>
          <w:sz w:val="20"/>
          <w:szCs w:val="20"/>
        </w:rPr>
        <w:t xml:space="preserve">Does the vendor publish a privacy policy that addresses data retention and training use?</w:t>
      </w:r>
    </w:p>
    <w:p>
      <w:pPr>
        <w:pStyle w:val="ListParagraph"/>
        <w:numPr>
          <w:ilvl w:val="0"/>
          <w:numId w:val="2"/>
        </w:numPr>
        <w:spacing w:after="60" w:before="40"/>
      </w:pPr>
      <w:r>
        <w:rPr>
          <w:rFonts w:ascii="Arial" w:cs="Arial" w:eastAsia="Arial" w:hAnsi="Arial"/>
          <w:color w:val="4A4A4A"/>
          <w:sz w:val="20"/>
          <w:szCs w:val="20"/>
        </w:rPr>
        <w:t xml:space="preserve">Is there an option to disable input data being used for model training?</w:t>
      </w:r>
    </w:p>
    <w:p>
      <w:pPr>
        <w:pStyle w:val="ListParagraph"/>
        <w:numPr>
          <w:ilvl w:val="0"/>
          <w:numId w:val="2"/>
        </w:numPr>
        <w:spacing w:after="60" w:before="40"/>
      </w:pPr>
      <w:r>
        <w:rPr>
          <w:rFonts w:ascii="Arial" w:cs="Arial" w:eastAsia="Arial" w:hAnsi="Arial"/>
          <w:color w:val="4A4A4A"/>
          <w:sz w:val="20"/>
          <w:szCs w:val="20"/>
        </w:rPr>
        <w:t xml:space="preserve">Does the tool comply with SOC 2 or an equivalent security standard?</w:t>
      </w:r>
    </w:p>
    <w:p>
      <w:pPr>
        <w:pStyle w:val="ListParagraph"/>
        <w:numPr>
          <w:ilvl w:val="0"/>
          <w:numId w:val="2"/>
        </w:numPr>
        <w:spacing w:after="60" w:before="40"/>
      </w:pPr>
      <w:r>
        <w:rPr>
          <w:rFonts w:ascii="Arial" w:cs="Arial" w:eastAsia="Arial" w:hAnsi="Arial"/>
          <w:color w:val="4A4A4A"/>
          <w:sz w:val="20"/>
          <w:szCs w:val="20"/>
        </w:rPr>
        <w:t xml:space="preserve">Has your brokerage or its technology team reviewed and approved the tool?</w:t>
      </w:r>
    </w:p>
    <w:p>
      <w:pPr>
        <w:pStyle w:val="ListParagraph"/>
        <w:numPr>
          <w:ilvl w:val="0"/>
          <w:numId w:val="2"/>
        </w:numPr>
        <w:spacing w:after="60" w:before="40"/>
      </w:pPr>
      <w:r>
        <w:rPr>
          <w:rFonts w:ascii="Arial" w:cs="Arial" w:eastAsia="Arial" w:hAnsi="Arial"/>
          <w:color w:val="4A4A4A"/>
          <w:sz w:val="20"/>
          <w:szCs w:val="20"/>
        </w:rPr>
        <w:t xml:space="preserve">Are there user access controls to prevent unauthorised access to your conversation history?</w:t>
      </w:r>
    </w:p>
    <w:p>
      <w:pPr>
        <w:pStyle w:val="ListParagraph"/>
        <w:numPr>
          <w:ilvl w:val="0"/>
          <w:numId w:val="2"/>
        </w:numPr>
        <w:spacing w:after="60" w:before="40"/>
      </w:pPr>
      <w:r>
        <w:rPr>
          <w:rFonts w:ascii="Arial" w:cs="Arial" w:eastAsia="Arial" w:hAnsi="Arial"/>
          <w:color w:val="4A4A4A"/>
          <w:sz w:val="20"/>
          <w:szCs w:val="20"/>
        </w:rPr>
        <w:t xml:space="preserve">What is the vendor's process for responding to a data breach?</w:t>
      </w:r>
    </w:p>
    <w:p>
      <w:pPr>
        <w:spacing w:after="60" w:before="0"/>
      </w:pPr>
      <w:r>
        <w:t xml:space="preserve"/>
      </w:r>
    </w:p>
    <w:p>
      <w:pPr>
        <w:pBdr>
          <w:bottom w:val="single" w:color="D0D7DE" w:sz="4" w:space="1"/>
        </w:pBdr>
        <w:spacing w:after="160" w:before="0"/>
      </w:pPr>
      <w:r>
        <w:t xml:space="preserve"/>
      </w:r>
    </w:p>
    <w:p>
      <w:pPr>
        <w:pStyle w:val="Heading1"/>
        <w:pBdr>
          <w:bottom w:val="single" w:color="0D7C7C" w:sz="8" w:space="4"/>
        </w:pBdr>
        <w:spacing w:after="160" w:before="360"/>
      </w:pPr>
      <w:r>
        <w:rPr>
          <w:rFonts w:ascii="Arial" w:cs="Arial" w:eastAsia="Arial" w:hAnsi="Arial"/>
          <w:b/>
          <w:bCs/>
          <w:color w:val="1B3A5C"/>
          <w:sz w:val="28"/>
          <w:szCs w:val="28"/>
        </w:rPr>
        <w:t xml:space="preserve">8.  Disclosure Guidelines &amp; Ready-to-Use Language</w:t>
      </w:r>
    </w:p>
    <w:p>
      <w:pPr>
        <w:spacing w:after="120" w:before="60"/>
      </w:pPr>
      <w:r>
        <w:rPr>
          <w:rFonts w:ascii="Arial" w:cs="Arial" w:eastAsia="Arial" w:hAnsi="Arial"/>
          <w:color w:val="4A4A4A"/>
          <w:sz w:val="20"/>
          <w:szCs w:val="20"/>
        </w:rPr>
        <w:t xml:space="preserve">Disclosure norms for AI use in real estate are still evolving. No federal law currently mandates AI disclosure in real estate transactions, though several states are moving in this direction and the NAR Code of Ethics imposes honesty obligations that are relevant. The guidance below reflects a conservative, client-trust-centred approach.</w:t>
      </w:r>
    </w:p>
    <w:p>
      <w:pPr>
        <w:pStyle w:val="Heading2"/>
        <w:spacing w:after="100" w:before="280"/>
      </w:pPr>
      <w:r>
        <w:rPr>
          <w:rFonts w:ascii="Arial" w:cs="Arial" w:eastAsia="Arial" w:hAnsi="Arial"/>
          <w:b/>
          <w:bCs/>
          <w:color w:val="0D7C7C"/>
          <w:sz w:val="22"/>
          <w:szCs w:val="22"/>
        </w:rPr>
        <w:t xml:space="preserve">8.1  When to Disclose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D0D7DE" w:sz="1"/>
              <w:left w:val="single" w:color="D0D7DE" w:sz="1"/>
              <w:bottom w:val="single" w:color="D0D7DE" w:sz="1"/>
              <w:right w:val="single" w:color="D0D7DE" w:sz="1"/>
            </w:tcBorders>
            <w:shd w:fill="1B3A5C" w:val="clear"/>
            <w:tcMar>
              <w:top w:type="dxa" w:w="80"/>
              <w:left w:type="dxa" w:w="120"/>
              <w:bottom w:type="dxa" w:w="80"/>
              <w:right w:type="dxa" w:w="120"/>
            </w:tcMar>
            <w:vAlign w:val="top"/>
          </w:tcPr>
          <w:p>
            <w:r>
              <w:rPr>
                <w:rFonts w:ascii="Arial" w:cs="Arial" w:eastAsia="Arial" w:hAnsi="Arial"/>
                <w:b/>
                <w:bCs/>
                <w:color w:val="FFFFFF"/>
                <w:sz w:val="19"/>
                <w:szCs w:val="19"/>
              </w:rPr>
              <w:t xml:space="preserve">Situation</w:t>
            </w:r>
          </w:p>
        </w:tc>
        <w:tc>
          <w:tcPr>
            <w:tcW w:type="dxa" w:w="6560"/>
            <w:tcBorders>
              <w:top w:val="single" w:color="D0D7DE" w:sz="1"/>
              <w:left w:val="single" w:color="D0D7DE" w:sz="1"/>
              <w:bottom w:val="single" w:color="D0D7DE" w:sz="1"/>
              <w:right w:val="single" w:color="D0D7DE" w:sz="1"/>
            </w:tcBorders>
            <w:shd w:fill="1B3A5C" w:val="clear"/>
            <w:tcMar>
              <w:top w:type="dxa" w:w="80"/>
              <w:left w:type="dxa" w:w="120"/>
              <w:bottom w:type="dxa" w:w="80"/>
              <w:right w:type="dxa" w:w="120"/>
            </w:tcMar>
            <w:vAlign w:val="top"/>
          </w:tcPr>
          <w:p>
            <w:r>
              <w:rPr>
                <w:rFonts w:ascii="Arial" w:cs="Arial" w:eastAsia="Arial" w:hAnsi="Arial"/>
                <w:b/>
                <w:bCs/>
                <w:color w:val="FFFFFF"/>
                <w:sz w:val="19"/>
                <w:szCs w:val="19"/>
              </w:rPr>
              <w:t xml:space="preserve">Recommended Approach</w:t>
            </w:r>
          </w:p>
        </w:tc>
      </w:tr>
      <w:tr>
        <w:trPr>
          <w:tblHeader w:val="false"/>
        </w:trPr>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AI-generated listing description</w:t>
            </w:r>
          </w:p>
        </w:tc>
        <w:tc>
          <w:tcPr>
            <w:tcW w:type="dxa" w:w="65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Disclosure recommended. Note in your conversation with the seller that you used AI assistance to draft the description and that you reviewed and edited it.</w:t>
            </w:r>
          </w:p>
        </w:tc>
      </w:tr>
      <w:tr>
        <w:trPr>
          <w:tblHeader w:val="false"/>
        </w:trPr>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AI-generated market analysis narrative</w:t>
            </w:r>
          </w:p>
        </w:tc>
        <w:tc>
          <w:tcPr>
            <w:tcW w:type="dxa" w:w="65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Disclosure recommended. Clients are relying on this for significant financial decisions.</w:t>
            </w:r>
          </w:p>
        </w:tc>
      </w:tr>
      <w:tr>
        <w:trPr>
          <w:tblHeader w:val="false"/>
        </w:trPr>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AI-drafted client emails</w:t>
            </w:r>
          </w:p>
        </w:tc>
        <w:tc>
          <w:tcPr>
            <w:tcW w:type="dxa" w:w="65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Disclosure at your discretion. Routine AI-assisted emails do not generally require individual disclosure; a general practice disclosure (see below) is sufficient.</w:t>
            </w:r>
          </w:p>
        </w:tc>
      </w:tr>
      <w:tr>
        <w:trPr>
          <w:tblHeader w:val="false"/>
        </w:trPr>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AI-assisted offer strategy or pricing guidance</w:t>
            </w:r>
          </w:p>
        </w:tc>
        <w:tc>
          <w:tcPr>
            <w:tcW w:type="dxa" w:w="65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Disclosure strongly recommended. Make clear that the AI output was an input to your professional judgement, not a substitute for it.</w:t>
            </w:r>
          </w:p>
        </w:tc>
      </w:tr>
      <w:tr>
        <w:trPr>
          <w:tblHeader w:val="false"/>
        </w:trPr>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AI-generated social media or marketing content</w:t>
            </w:r>
          </w:p>
        </w:tc>
        <w:tc>
          <w:tcPr>
            <w:tcW w:type="dxa" w:w="65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Disclosure optional but increasingly expected. Platform norms are shifting toward requiring AI disclosure labels.</w:t>
            </w:r>
          </w:p>
        </w:tc>
      </w:tr>
      <w:tr>
        <w:trPr>
          <w:tblHeader w:val="false"/>
        </w:trPr>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AI tool used to screen or rank leads</w:t>
            </w:r>
          </w:p>
        </w:tc>
        <w:tc>
          <w:tcPr>
            <w:tcW w:type="dxa" w:w="65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Disclose to your brokerage; document the tool's use. Direct client disclosure not currently standard but may become required.</w:t>
            </w:r>
          </w:p>
        </w:tc>
      </w:tr>
    </w:tbl>
    <w:p>
      <w:pPr>
        <w:spacing w:after="120" w:before="0"/>
      </w:pPr>
      <w:r>
        <w:t xml:space="preserve"/>
      </w:r>
    </w:p>
    <w:p>
      <w:pPr>
        <w:pStyle w:val="Heading2"/>
        <w:spacing w:after="100" w:before="280"/>
      </w:pPr>
      <w:r>
        <w:rPr>
          <w:rFonts w:ascii="Arial" w:cs="Arial" w:eastAsia="Arial" w:hAnsi="Arial"/>
          <w:b/>
          <w:bCs/>
          <w:color w:val="0D7C7C"/>
          <w:sz w:val="22"/>
          <w:szCs w:val="22"/>
        </w:rPr>
        <w:t xml:space="preserve">8.2  Ready-to-Use Disclosure Language</w:t>
      </w:r>
    </w:p>
    <w:p>
      <w:pPr>
        <w:spacing w:after="120" w:before="60"/>
      </w:pPr>
      <w:r>
        <w:rPr>
          <w:rFonts w:ascii="Arial" w:cs="Arial" w:eastAsia="Arial" w:hAnsi="Arial"/>
          <w:color w:val="4A4A4A"/>
          <w:sz w:val="20"/>
          <w:szCs w:val="20"/>
        </w:rPr>
        <w:t xml:space="preserve">The template below can be adapted for buyer and seller engagement letters. It is provided as practitioner guidance, not a legal-approved form — have your attorney or brokerage counsel review before adoption.</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0D7C7C" w:sz="1"/>
              <w:left w:val="single" w:color="0D7C7C" w:sz="18"/>
              <w:bottom w:val="single" w:color="0D7C7C" w:sz="1"/>
              <w:right w:val="single" w:color="D0D7DE" w:sz="1"/>
            </w:tcBorders>
            <w:shd w:fill="F2F5F7" w:val="clear"/>
            <w:tcMar>
              <w:top w:type="dxa" w:w="120"/>
              <w:left w:type="dxa" w:w="180"/>
              <w:bottom w:type="dxa" w:w="120"/>
              <w:right w:type="dxa" w:w="180"/>
            </w:tcMar>
          </w:tcPr>
          <w:p>
            <w:pPr>
              <w:spacing w:after="80" w:before="0"/>
            </w:pPr>
            <w:r>
              <w:rPr>
                <w:rFonts w:ascii="Arial" w:cs="Arial" w:eastAsia="Arial" w:hAnsi="Arial"/>
                <w:b/>
                <w:bCs/>
                <w:color w:val="1B3A5C"/>
                <w:sz w:val="20"/>
                <w:szCs w:val="20"/>
              </w:rPr>
              <w:t xml:space="preserve">General AI Practice Disclosure (suitable for buyer/seller engagement letters)</w:t>
            </w:r>
          </w:p>
          <w:p>
            <w:pPr>
              <w:spacing w:after="60" w:before="0"/>
            </w:pPr>
            <w:r>
              <w:rPr>
                <w:rFonts w:ascii="Arial" w:cs="Arial" w:eastAsia="Arial" w:hAnsi="Arial"/>
                <w:color w:val="4A4A4A"/>
                <w:sz w:val="19"/>
                <w:szCs w:val="19"/>
              </w:rPr>
              <w:t xml:space="preserve">"In my practice, I use artificial intelligence tools to assist with tasks such as drafting written communications, summarising market data, and preparing marketing content. All AI-generated content is reviewed and edited by me before use. I do not rely on AI tools to make professional judgements or recommendations on your behalf, and I remain fully responsible for the accuracy and completeness of everything I provide to you.</w:t>
            </w:r>
          </w:p>
          <w:p>
            <w:pPr>
              <w:spacing w:after="60" w:before="0"/>
            </w:pPr>
            <w:r>
              <w:rPr>
                <w:rFonts w:ascii="Arial" w:cs="Arial" w:eastAsia="Arial" w:hAnsi="Arial"/>
                <w:color w:val="4A4A4A"/>
                <w:sz w:val="19"/>
                <w:szCs w:val="19"/>
              </w:rPr>
              <w:t xml:space="preserve"/>
            </w:r>
          </w:p>
          <w:p>
            <w:pPr>
              <w:spacing w:after="60" w:before="0"/>
            </w:pPr>
            <w:r>
              <w:rPr>
                <w:rFonts w:ascii="Arial" w:cs="Arial" w:eastAsia="Arial" w:hAnsi="Arial"/>
                <w:color w:val="4A4A4A"/>
                <w:sz w:val="19"/>
                <w:szCs w:val="19"/>
              </w:rPr>
              <w:t xml:space="preserve">AI tools I use do not have access to your personal financial information, identification documents, or transaction confidential information unless specifically noted and consented to in writing."</w:t>
            </w:r>
          </w:p>
        </w:tc>
      </w:tr>
    </w:tbl>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0D7C7C" w:sz="1"/>
              <w:left w:val="single" w:color="0D7C7C" w:sz="18"/>
              <w:bottom w:val="single" w:color="0D7C7C" w:sz="1"/>
              <w:right w:val="single" w:color="D0D7DE" w:sz="1"/>
            </w:tcBorders>
            <w:shd w:fill="F2F5F7" w:val="clear"/>
            <w:tcMar>
              <w:top w:type="dxa" w:w="120"/>
              <w:left w:type="dxa" w:w="180"/>
              <w:bottom w:type="dxa" w:w="120"/>
              <w:right w:type="dxa" w:w="180"/>
            </w:tcMar>
          </w:tcPr>
          <w:p>
            <w:pPr>
              <w:spacing w:after="80" w:before="0"/>
            </w:pPr>
            <w:r>
              <w:rPr>
                <w:rFonts w:ascii="Arial" w:cs="Arial" w:eastAsia="Arial" w:hAnsi="Arial"/>
                <w:b/>
                <w:bCs/>
                <w:color w:val="1B3A5C"/>
                <w:sz w:val="20"/>
                <w:szCs w:val="20"/>
              </w:rPr>
              <w:t xml:space="preserve">Additional Disclosure Templates — Available in the Full Framework</w:t>
            </w:r>
          </w:p>
          <w:p>
            <w:pPr>
              <w:spacing w:after="60" w:before="0"/>
            </w:pPr>
            <w:r>
              <w:rPr>
                <w:rFonts w:ascii="Arial" w:cs="Arial" w:eastAsia="Arial" w:hAnsi="Arial"/>
                <w:color w:val="4A4A4A"/>
                <w:sz w:val="19"/>
                <w:szCs w:val="19"/>
              </w:rPr>
              <w:t xml:space="preserve">The Real AI Standards AI Disclosure &amp; Transparency Framework includes purpose-built templates for:</w:t>
            </w:r>
          </w:p>
          <w:p>
            <w:pPr>
              <w:spacing w:after="60" w:before="0"/>
            </w:pPr>
            <w:r>
              <w:rPr>
                <w:rFonts w:ascii="Arial" w:cs="Arial" w:eastAsia="Arial" w:hAnsi="Arial"/>
                <w:color w:val="4A4A4A"/>
                <w:sz w:val="19"/>
                <w:szCs w:val="19"/>
              </w:rPr>
              <w:t xml:space="preserve"/>
            </w:r>
          </w:p>
          <w:p>
            <w:pPr>
              <w:spacing w:after="60" w:before="0"/>
            </w:pPr>
            <w:r>
              <w:rPr>
                <w:rFonts w:ascii="Arial" w:cs="Arial" w:eastAsia="Arial" w:hAnsi="Arial"/>
                <w:color w:val="4A4A4A"/>
                <w:sz w:val="19"/>
                <w:szCs w:val="19"/>
              </w:rPr>
              <w:t xml:space="preserve">  •  Listing description disclosure (for seller conversations)</w:t>
            </w:r>
          </w:p>
          <w:p>
            <w:pPr>
              <w:spacing w:after="60" w:before="0"/>
            </w:pPr>
            <w:r>
              <w:rPr>
                <w:rFonts w:ascii="Arial" w:cs="Arial" w:eastAsia="Arial" w:hAnsi="Arial"/>
                <w:color w:val="4A4A4A"/>
                <w:sz w:val="19"/>
                <w:szCs w:val="19"/>
              </w:rPr>
              <w:t xml:space="preserve">  •  CMA and market analysis disclosure (for buyer consultations)</w:t>
            </w:r>
          </w:p>
          <w:p>
            <w:pPr>
              <w:spacing w:after="60" w:before="0"/>
            </w:pPr>
            <w:r>
              <w:rPr>
                <w:rFonts w:ascii="Arial" w:cs="Arial" w:eastAsia="Arial" w:hAnsi="Arial"/>
                <w:color w:val="4A4A4A"/>
                <w:sz w:val="19"/>
                <w:szCs w:val="19"/>
              </w:rPr>
              <w:t xml:space="preserve">  •  Chatbot and auto-responder disclosure (for brokerage deployments)</w:t>
            </w:r>
          </w:p>
          <w:p>
            <w:pPr>
              <w:spacing w:after="60" w:before="0"/>
            </w:pPr>
            <w:r>
              <w:rPr>
                <w:rFonts w:ascii="Arial" w:cs="Arial" w:eastAsia="Arial" w:hAnsi="Arial"/>
                <w:color w:val="4A4A4A"/>
                <w:sz w:val="19"/>
                <w:szCs w:val="19"/>
              </w:rPr>
              <w:t xml:space="preserve">  •  Lead scoring and AI routing disclosure (for broker-level use)</w:t>
            </w:r>
          </w:p>
          <w:p>
            <w:pPr>
              <w:spacing w:after="60" w:before="0"/>
            </w:pPr>
            <w:r>
              <w:rPr>
                <w:rFonts w:ascii="Arial" w:cs="Arial" w:eastAsia="Arial" w:hAnsi="Arial"/>
                <w:color w:val="4A4A4A"/>
                <w:sz w:val="19"/>
                <w:szCs w:val="19"/>
              </w:rPr>
              <w:t xml:space="preserve"/>
            </w:r>
          </w:p>
          <w:p>
            <w:pPr>
              <w:spacing w:after="60" w:before="0"/>
            </w:pPr>
            <w:r>
              <w:rPr>
                <w:rFonts w:ascii="Arial" w:cs="Arial" w:eastAsia="Arial" w:hAnsi="Arial"/>
                <w:color w:val="4A4A4A"/>
                <w:sz w:val="19"/>
                <w:szCs w:val="19"/>
              </w:rPr>
              <w:t xml:space="preserve">It also covers the state-specific disclosure obligations that are emerging in California, Colorado, and New York. Visit www.realaistandards.com to access the full Disclosure Framework.</w:t>
            </w:r>
          </w:p>
        </w:tc>
      </w:tr>
    </w:tbl>
    <w:p>
      <w:pPr>
        <w:spacing w:after="120" w:before="0"/>
      </w:pPr>
      <w:r>
        <w:t xml:space="preserve"/>
      </w:r>
    </w:p>
    <w:p>
      <w:pPr>
        <w:spacing w:after="60" w:before="0"/>
      </w:pPr>
      <w:r>
        <w:t xml:space="preserve"/>
      </w:r>
    </w:p>
    <w:p>
      <w:pPr>
        <w:pBdr>
          <w:bottom w:val="single" w:color="D0D7DE" w:sz="4" w:space="1"/>
        </w:pBdr>
        <w:spacing w:after="160" w:before="0"/>
      </w:pPr>
      <w:r>
        <w:t xml:space="preserve"/>
      </w:r>
    </w:p>
    <w:p>
      <w:pPr>
        <w:pStyle w:val="Heading1"/>
        <w:pBdr>
          <w:bottom w:val="single" w:color="0D7C7C" w:sz="8" w:space="4"/>
        </w:pBdr>
        <w:spacing w:after="160" w:before="360"/>
      </w:pPr>
      <w:r>
        <w:rPr>
          <w:rFonts w:ascii="Arial" w:cs="Arial" w:eastAsia="Arial" w:hAnsi="Arial"/>
          <w:b/>
          <w:bCs/>
          <w:color w:val="1B3A5C"/>
          <w:sz w:val="28"/>
          <w:szCs w:val="28"/>
        </w:rPr>
        <w:t xml:space="preserve">9.  Oversight &amp; Accountability</w:t>
      </w:r>
    </w:p>
    <w:p>
      <w:pPr>
        <w:pStyle w:val="Heading2"/>
        <w:spacing w:after="100" w:before="280"/>
      </w:pPr>
      <w:r>
        <w:rPr>
          <w:rFonts w:ascii="Arial" w:cs="Arial" w:eastAsia="Arial" w:hAnsi="Arial"/>
          <w:b/>
          <w:bCs/>
          <w:color w:val="0D7C7C"/>
          <w:sz w:val="22"/>
          <w:szCs w:val="22"/>
        </w:rPr>
        <w:t xml:space="preserve">9.1  The Human Review Requirement</w:t>
      </w:r>
    </w:p>
    <w:p>
      <w:pPr>
        <w:spacing w:after="120" w:before="60"/>
      </w:pPr>
      <w:r>
        <w:rPr>
          <w:rFonts w:ascii="Arial" w:cs="Arial" w:eastAsia="Arial" w:hAnsi="Arial"/>
          <w:color w:val="4A4A4A"/>
          <w:sz w:val="20"/>
          <w:szCs w:val="20"/>
        </w:rPr>
        <w:t xml:space="preserve">No AI output used in your real estate practice should reach a client, be published externally, or be incorporated into a legal or transactional document without a human review step. The nature of that review should be proportionate to the stakes of the use: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D0D7DE" w:sz="1"/>
              <w:left w:val="single" w:color="D0D7DE" w:sz="1"/>
              <w:bottom w:val="single" w:color="D0D7DE" w:sz="1"/>
              <w:right w:val="single" w:color="D0D7DE" w:sz="1"/>
            </w:tcBorders>
            <w:shd w:fill="1B3A5C" w:val="clear"/>
            <w:tcMar>
              <w:top w:type="dxa" w:w="80"/>
              <w:left w:type="dxa" w:w="120"/>
              <w:bottom w:type="dxa" w:w="80"/>
              <w:right w:type="dxa" w:w="120"/>
            </w:tcMar>
            <w:vAlign w:val="top"/>
          </w:tcPr>
          <w:p>
            <w:r>
              <w:rPr>
                <w:rFonts w:ascii="Arial" w:cs="Arial" w:eastAsia="Arial" w:hAnsi="Arial"/>
                <w:b/>
                <w:bCs/>
                <w:color w:val="FFFFFF"/>
                <w:sz w:val="19"/>
                <w:szCs w:val="19"/>
              </w:rPr>
              <w:t xml:space="preserve">Use Case</w:t>
            </w:r>
          </w:p>
        </w:tc>
        <w:tc>
          <w:tcPr>
            <w:tcW w:type="dxa" w:w="6560"/>
            <w:tcBorders>
              <w:top w:val="single" w:color="D0D7DE" w:sz="1"/>
              <w:left w:val="single" w:color="D0D7DE" w:sz="1"/>
              <w:bottom w:val="single" w:color="D0D7DE" w:sz="1"/>
              <w:right w:val="single" w:color="D0D7DE" w:sz="1"/>
            </w:tcBorders>
            <w:shd w:fill="1B3A5C" w:val="clear"/>
            <w:tcMar>
              <w:top w:type="dxa" w:w="80"/>
              <w:left w:type="dxa" w:w="120"/>
              <w:bottom w:type="dxa" w:w="80"/>
              <w:right w:type="dxa" w:w="120"/>
            </w:tcMar>
            <w:vAlign w:val="top"/>
          </w:tcPr>
          <w:p>
            <w:r>
              <w:rPr>
                <w:rFonts w:ascii="Arial" w:cs="Arial" w:eastAsia="Arial" w:hAnsi="Arial"/>
                <w:b/>
                <w:bCs/>
                <w:color w:val="FFFFFF"/>
                <w:sz w:val="19"/>
                <w:szCs w:val="19"/>
              </w:rPr>
              <w:t xml:space="preserve">Minimum Review Standard</w:t>
            </w:r>
          </w:p>
        </w:tc>
      </w:tr>
      <w:tr>
        <w:trPr>
          <w:tblHeader w:val="false"/>
        </w:trPr>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Routine email drafts, social captions, internal notes</w:t>
            </w:r>
          </w:p>
        </w:tc>
        <w:tc>
          <w:tcPr>
            <w:tcW w:type="dxa" w:w="65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Quick read for accuracy and tone before sending</w:t>
            </w:r>
          </w:p>
        </w:tc>
      </w:tr>
      <w:tr>
        <w:trPr>
          <w:tblHeader w:val="false"/>
        </w:trPr>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Listing descriptions, neighbourhood guides, marketing content</w:t>
            </w:r>
          </w:p>
        </w:tc>
        <w:tc>
          <w:tcPr>
            <w:tcW w:type="dxa" w:w="65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Full factual verification pass against source data; edit for voice and accuracy</w:t>
            </w:r>
          </w:p>
        </w:tc>
      </w:tr>
      <w:tr>
        <w:trPr>
          <w:tblHeader w:val="false"/>
        </w:trPr>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Market analysis narratives, pricing summaries</w:t>
            </w:r>
          </w:p>
        </w:tc>
        <w:tc>
          <w:tcPr>
            <w:tcW w:type="dxa" w:w="65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Verify all figures, comp selections, and conclusions reflect your professional assessment</w:t>
            </w:r>
          </w:p>
        </w:tc>
      </w:tr>
      <w:tr>
        <w:trPr>
          <w:tblHeader w:val="false"/>
        </w:trPr>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Contract language, addenda, disclosure content</w:t>
            </w:r>
          </w:p>
        </w:tc>
        <w:tc>
          <w:tcPr>
            <w:tcW w:type="dxa" w:w="65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Attorney review required before use in any transaction</w:t>
            </w:r>
          </w:p>
        </w:tc>
      </w:tr>
      <w:tr>
        <w:trPr>
          <w:tblHeader w:val="false"/>
        </w:trPr>
        <w:tc>
          <w:tcPr>
            <w:tcW w:type="dxa" w:w="28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Automated client-facing content (chatbots, auto-responders)</w:t>
            </w:r>
          </w:p>
        </w:tc>
        <w:tc>
          <w:tcPr>
            <w:tcW w:type="dxa" w:w="65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Audit-level review of all response templates; regular sampling of live outputs</w:t>
            </w:r>
          </w:p>
        </w:tc>
      </w:tr>
    </w:tbl>
    <w:p>
      <w:pPr>
        <w:spacing w:after="120" w:before="0"/>
      </w:pPr>
      <w:r>
        <w:t xml:space="preserve"/>
      </w:r>
    </w:p>
    <w:p>
      <w:pPr>
        <w:pStyle w:val="Heading2"/>
        <w:spacing w:after="100" w:before="280"/>
      </w:pPr>
      <w:r>
        <w:rPr>
          <w:rFonts w:ascii="Arial" w:cs="Arial" w:eastAsia="Arial" w:hAnsi="Arial"/>
          <w:b/>
          <w:bCs/>
          <w:color w:val="0D7C7C"/>
          <w:sz w:val="22"/>
          <w:szCs w:val="22"/>
        </w:rPr>
        <w:t xml:space="preserve">9.2  Correcting AI Errors</w:t>
      </w:r>
    </w:p>
    <w:p>
      <w:pPr>
        <w:spacing w:after="120" w:before="60"/>
      </w:pPr>
      <w:r>
        <w:rPr>
          <w:rFonts w:ascii="Arial" w:cs="Arial" w:eastAsia="Arial" w:hAnsi="Arial"/>
          <w:color w:val="4A4A4A"/>
          <w:sz w:val="20"/>
          <w:szCs w:val="20"/>
        </w:rPr>
        <w:t xml:space="preserve">When you identify an error in AI-generated content — whether before or after distribution — address it using the same standards you would apply to any professional error:</w:t>
      </w:r>
    </w:p>
    <w:p>
      <w:pPr>
        <w:pStyle w:val="ListParagraph"/>
        <w:numPr>
          <w:ilvl w:val="0"/>
          <w:numId w:val="3"/>
        </w:numPr>
        <w:spacing w:after="60" w:before="40"/>
      </w:pPr>
      <w:r>
        <w:rPr>
          <w:rFonts w:ascii="Arial" w:cs="Arial" w:eastAsia="Arial" w:hAnsi="Arial"/>
          <w:color w:val="4A4A4A"/>
          <w:sz w:val="20"/>
          <w:szCs w:val="20"/>
        </w:rPr>
        <w:t xml:space="preserve">If caught before sending: correct and resend or don't send</w:t>
      </w:r>
    </w:p>
    <w:p>
      <w:pPr>
        <w:pStyle w:val="ListParagraph"/>
        <w:numPr>
          <w:ilvl w:val="0"/>
          <w:numId w:val="3"/>
        </w:numPr>
        <w:spacing w:after="60" w:before="40"/>
      </w:pPr>
      <w:r>
        <w:rPr>
          <w:rFonts w:ascii="Arial" w:cs="Arial" w:eastAsia="Arial" w:hAnsi="Arial"/>
          <w:color w:val="4A4A4A"/>
          <w:sz w:val="20"/>
          <w:szCs w:val="20"/>
        </w:rPr>
        <w:t xml:space="preserve">If a client received incorrect AI-generated information: correct it promptly in writing and document the correction in your file</w:t>
      </w:r>
    </w:p>
    <w:p>
      <w:pPr>
        <w:pStyle w:val="ListParagraph"/>
        <w:numPr>
          <w:ilvl w:val="0"/>
          <w:numId w:val="3"/>
        </w:numPr>
        <w:spacing w:after="60" w:before="40"/>
      </w:pPr>
      <w:r>
        <w:rPr>
          <w:rFonts w:ascii="Arial" w:cs="Arial" w:eastAsia="Arial" w:hAnsi="Arial"/>
          <w:color w:val="4A4A4A"/>
          <w:sz w:val="20"/>
          <w:szCs w:val="20"/>
        </w:rPr>
        <w:t xml:space="preserve">If incorrect content was included in a published listing: update the listing and note the correction date</w:t>
      </w:r>
    </w:p>
    <w:p>
      <w:pPr>
        <w:pStyle w:val="ListParagraph"/>
        <w:numPr>
          <w:ilvl w:val="0"/>
          <w:numId w:val="3"/>
        </w:numPr>
        <w:spacing w:after="60" w:before="40"/>
      </w:pPr>
      <w:r>
        <w:rPr>
          <w:rFonts w:ascii="Arial" w:cs="Arial" w:eastAsia="Arial" w:hAnsi="Arial"/>
          <w:color w:val="4A4A4A"/>
          <w:sz w:val="20"/>
          <w:szCs w:val="20"/>
        </w:rPr>
        <w:t xml:space="preserve">If the error may have affected a transaction or created a material misrepresentation: contact your broker and E&amp;O carrier immediately</w:t>
      </w:r>
    </w:p>
    <w:p>
      <w:pPr>
        <w:pStyle w:val="Heading2"/>
        <w:spacing w:after="100" w:before="280"/>
      </w:pPr>
      <w:r>
        <w:rPr>
          <w:rFonts w:ascii="Arial" w:cs="Arial" w:eastAsia="Arial" w:hAnsi="Arial"/>
          <w:b/>
          <w:bCs/>
          <w:color w:val="0D7C7C"/>
          <w:sz w:val="22"/>
          <w:szCs w:val="22"/>
        </w:rPr>
        <w:t xml:space="preserve">9.3  Recordkeeping</w:t>
      </w:r>
    </w:p>
    <w:p>
      <w:pPr>
        <w:spacing w:after="120" w:before="60"/>
      </w:pPr>
      <w:r>
        <w:rPr>
          <w:rFonts w:ascii="Arial" w:cs="Arial" w:eastAsia="Arial" w:hAnsi="Arial"/>
          <w:color w:val="4A4A4A"/>
          <w:sz w:val="20"/>
          <w:szCs w:val="20"/>
        </w:rPr>
        <w:t xml:space="preserve">Best practice is to maintain sufficient records to demonstrate, if ever questioned, that AI was used as an assistive tool and that professional oversight was applied. Consider:</w:t>
      </w:r>
    </w:p>
    <w:p>
      <w:pPr>
        <w:pStyle w:val="ListParagraph"/>
        <w:numPr>
          <w:ilvl w:val="0"/>
          <w:numId w:val="2"/>
        </w:numPr>
        <w:spacing w:after="60" w:before="40"/>
      </w:pPr>
      <w:r>
        <w:rPr>
          <w:rFonts w:ascii="Arial" w:cs="Arial" w:eastAsia="Arial" w:hAnsi="Arial"/>
          <w:color w:val="4A4A4A"/>
          <w:sz w:val="20"/>
          <w:szCs w:val="20"/>
        </w:rPr>
        <w:t xml:space="preserve">Keeping notes in your transaction management system when AI was used to assist with a specific task</w:t>
      </w:r>
    </w:p>
    <w:p>
      <w:pPr>
        <w:pStyle w:val="ListParagraph"/>
        <w:numPr>
          <w:ilvl w:val="0"/>
          <w:numId w:val="2"/>
        </w:numPr>
        <w:spacing w:after="60" w:before="40"/>
      </w:pPr>
      <w:r>
        <w:rPr>
          <w:rFonts w:ascii="Arial" w:cs="Arial" w:eastAsia="Arial" w:hAnsi="Arial"/>
          <w:color w:val="4A4A4A"/>
          <w:sz w:val="20"/>
          <w:szCs w:val="20"/>
        </w:rPr>
        <w:t xml:space="preserve">Retaining a copy of the AI-generated draft alongside your edited final version for significant documents</w:t>
      </w:r>
    </w:p>
    <w:p>
      <w:pPr>
        <w:pStyle w:val="ListParagraph"/>
        <w:numPr>
          <w:ilvl w:val="0"/>
          <w:numId w:val="2"/>
        </w:numPr>
        <w:spacing w:after="60" w:before="40"/>
      </w:pPr>
      <w:r>
        <w:rPr>
          <w:rFonts w:ascii="Arial" w:cs="Arial" w:eastAsia="Arial" w:hAnsi="Arial"/>
          <w:color w:val="4A4A4A"/>
          <w:sz w:val="20"/>
          <w:szCs w:val="20"/>
        </w:rPr>
        <w:t xml:space="preserve">Documenting your verification steps for AI-generated factual claims in listing content</w:t>
      </w:r>
    </w:p>
    <w:p>
      <w:pPr>
        <w:spacing w:after="60" w:before="0"/>
      </w:pPr>
      <w:r>
        <w:t xml:space="preserve"/>
      </w:r>
    </w:p>
    <w:p>
      <w:pPr>
        <w:pBdr>
          <w:bottom w:val="single" w:color="D0D7DE" w:sz="4" w:space="1"/>
        </w:pBdr>
        <w:spacing w:after="160" w:before="0"/>
      </w:pPr>
      <w:r>
        <w:t xml:space="preserve"/>
      </w:r>
    </w:p>
    <w:p>
      <w:pPr>
        <w:pStyle w:val="Heading1"/>
        <w:pBdr>
          <w:bottom w:val="single" w:color="0D7C7C" w:sz="8" w:space="4"/>
        </w:pBdr>
        <w:spacing w:after="160" w:before="360"/>
      </w:pPr>
      <w:r>
        <w:rPr>
          <w:rFonts w:ascii="Arial" w:cs="Arial" w:eastAsia="Arial" w:hAnsi="Arial"/>
          <w:b/>
          <w:bCs/>
          <w:color w:val="1B3A5C"/>
          <w:sz w:val="28"/>
          <w:szCs w:val="28"/>
        </w:rPr>
        <w:t xml:space="preserve">10.  Brokerage-Level Implementation Notes</w:t>
      </w:r>
    </w:p>
    <w:p>
      <w:pPr>
        <w:spacing w:after="120" w:before="60"/>
      </w:pPr>
      <w:r>
        <w:rPr>
          <w:rFonts w:ascii="Arial" w:cs="Arial" w:eastAsia="Arial" w:hAnsi="Arial"/>
          <w:color w:val="4A4A4A"/>
          <w:sz w:val="20"/>
          <w:szCs w:val="20"/>
        </w:rPr>
        <w:t xml:space="preserve">This section is addressed primarily to brokers, office managers, and proptech teams deploying this framework across an agent population. At minimum: brief your agents on the core principles and the prohibited uses list, designate which AI tools are approved for use with client data, and assign a point of contact for agent questions. This framework gives you the starting point — the agent-facing guidance and the accountability structure.</w:t>
      </w:r>
    </w:p>
    <w:p>
      <w:pPr>
        <w:spacing w:after="120" w:before="60"/>
      </w:pPr>
      <w:r>
        <w:rPr>
          <w:rFonts w:ascii="Arial" w:cs="Arial" w:eastAsia="Arial" w:hAnsi="Arial"/>
          <w:color w:val="4A4A4A"/>
          <w:sz w:val="20"/>
          <w:szCs w:val="20"/>
        </w:rPr>
        <w:t xml:space="preserve">Brokerages deploying AI at scale — across multiple agents, with CRM integrations, automated lead routing, or client-facing chatbots — face a significantly more complex implementation challenge than this framework addresses. Vendor selection, data governance, fair housing testing, and incident response all require brokerage-level frameworks that go well beyond what any individual agent guidance document can cover.</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9360"/>
      </w:tblGrid>
      <w:tr>
        <w:tc>
          <w:tcPr>
            <w:tcW w:type="dxa" w:w="9360"/>
            <w:tcBorders>
              <w:top w:val="single" w:color="0D7C7C" w:sz="1"/>
              <w:left w:val="single" w:color="0D7C7C" w:sz="18"/>
              <w:bottom w:val="single" w:color="0D7C7C" w:sz="1"/>
              <w:right w:val="single" w:color="D0D7DE" w:sz="1"/>
            </w:tcBorders>
            <w:shd w:fill="F2F5F7" w:val="clear"/>
            <w:tcMar>
              <w:top w:type="dxa" w:w="120"/>
              <w:left w:type="dxa" w:w="180"/>
              <w:bottom w:type="dxa" w:w="120"/>
              <w:right w:type="dxa" w:w="180"/>
            </w:tcMar>
          </w:tcPr>
          <w:p>
            <w:pPr>
              <w:spacing w:after="80" w:before="0"/>
            </w:pPr>
            <w:r>
              <w:rPr>
                <w:rFonts w:ascii="Arial" w:cs="Arial" w:eastAsia="Arial" w:hAnsi="Arial"/>
                <w:b/>
                <w:bCs/>
                <w:color w:val="1B3A5C"/>
                <w:sz w:val="20"/>
                <w:szCs w:val="20"/>
              </w:rPr>
              <w:t xml:space="preserve">Brokerage AI Governance — Full Framework Available Separately</w:t>
            </w:r>
          </w:p>
          <w:p>
            <w:pPr>
              <w:spacing w:after="60" w:before="0"/>
            </w:pPr>
            <w:r>
              <w:rPr>
                <w:rFonts w:ascii="Arial" w:cs="Arial" w:eastAsia="Arial" w:hAnsi="Arial"/>
                <w:color w:val="4A4A4A"/>
                <w:sz w:val="19"/>
                <w:szCs w:val="19"/>
              </w:rPr>
              <w:t xml:space="preserve">The Real AI Standards Brokerage AI Governance Package covers the implementation layer this document intentionally omits:</w:t>
            </w:r>
          </w:p>
          <w:p>
            <w:pPr>
              <w:spacing w:after="60" w:before="0"/>
            </w:pPr>
            <w:r>
              <w:rPr>
                <w:rFonts w:ascii="Arial" w:cs="Arial" w:eastAsia="Arial" w:hAnsi="Arial"/>
                <w:color w:val="4A4A4A"/>
                <w:sz w:val="19"/>
                <w:szCs w:val="19"/>
              </w:rPr>
              <w:t xml:space="preserve"/>
            </w:r>
          </w:p>
          <w:p>
            <w:pPr>
              <w:spacing w:after="60" w:before="0"/>
            </w:pPr>
            <w:r>
              <w:rPr>
                <w:rFonts w:ascii="Arial" w:cs="Arial" w:eastAsia="Arial" w:hAnsi="Arial"/>
                <w:color w:val="4A4A4A"/>
                <w:sz w:val="19"/>
                <w:szCs w:val="19"/>
              </w:rPr>
              <w:t xml:space="preserve">  •  AI tool approval and vendor due diligence processes</w:t>
            </w:r>
          </w:p>
          <w:p>
            <w:pPr>
              <w:spacing w:after="60" w:before="0"/>
            </w:pPr>
            <w:r>
              <w:rPr>
                <w:rFonts w:ascii="Arial" w:cs="Arial" w:eastAsia="Arial" w:hAnsi="Arial"/>
                <w:color w:val="4A4A4A"/>
                <w:sz w:val="19"/>
                <w:szCs w:val="19"/>
              </w:rPr>
              <w:t xml:space="preserve">  •  Agent training and onboarding frameworks</w:t>
            </w:r>
          </w:p>
          <w:p>
            <w:pPr>
              <w:spacing w:after="60" w:before="0"/>
            </w:pPr>
            <w:r>
              <w:rPr>
                <w:rFonts w:ascii="Arial" w:cs="Arial" w:eastAsia="Arial" w:hAnsi="Arial"/>
                <w:color w:val="4A4A4A"/>
                <w:sz w:val="19"/>
                <w:szCs w:val="19"/>
              </w:rPr>
              <w:t xml:space="preserve">  •  Data governance and client consent structures</w:t>
            </w:r>
          </w:p>
          <w:p>
            <w:pPr>
              <w:spacing w:after="60" w:before="0"/>
            </w:pPr>
            <w:r>
              <w:rPr>
                <w:rFonts w:ascii="Arial" w:cs="Arial" w:eastAsia="Arial" w:hAnsi="Arial"/>
                <w:color w:val="4A4A4A"/>
                <w:sz w:val="19"/>
                <w:szCs w:val="19"/>
              </w:rPr>
              <w:t xml:space="preserve">  •  Fair housing testing requirements for algorithmic tools</w:t>
            </w:r>
          </w:p>
          <w:p>
            <w:pPr>
              <w:spacing w:after="60" w:before="0"/>
            </w:pPr>
            <w:r>
              <w:rPr>
                <w:rFonts w:ascii="Arial" w:cs="Arial" w:eastAsia="Arial" w:hAnsi="Arial"/>
                <w:color w:val="4A4A4A"/>
                <w:sz w:val="19"/>
                <w:szCs w:val="19"/>
              </w:rPr>
              <w:t xml:space="preserve">  •  Incident response procedures when AI tools fail or cause harm</w:t>
            </w:r>
          </w:p>
          <w:p>
            <w:pPr>
              <w:spacing w:after="60" w:before="0"/>
            </w:pPr>
            <w:r>
              <w:rPr>
                <w:rFonts w:ascii="Arial" w:cs="Arial" w:eastAsia="Arial" w:hAnsi="Arial"/>
                <w:color w:val="4A4A4A"/>
                <w:sz w:val="19"/>
                <w:szCs w:val="19"/>
              </w:rPr>
              <w:t xml:space="preserve">  •  E&amp;O documentation and audit trail requirements</w:t>
            </w:r>
          </w:p>
          <w:p>
            <w:pPr>
              <w:spacing w:after="60" w:before="0"/>
            </w:pPr>
            <w:r>
              <w:rPr>
                <w:rFonts w:ascii="Arial" w:cs="Arial" w:eastAsia="Arial" w:hAnsi="Arial"/>
                <w:color w:val="4A4A4A"/>
                <w:sz w:val="19"/>
                <w:szCs w:val="19"/>
              </w:rPr>
              <w:t xml:space="preserve"/>
            </w:r>
          </w:p>
          <w:p>
            <w:pPr>
              <w:spacing w:after="60" w:before="0"/>
            </w:pPr>
            <w:r>
              <w:rPr>
                <w:rFonts w:ascii="Arial" w:cs="Arial" w:eastAsia="Arial" w:hAnsi="Arial"/>
                <w:color w:val="4A4A4A"/>
                <w:sz w:val="19"/>
                <w:szCs w:val="19"/>
              </w:rPr>
              <w:t xml:space="preserve">Contact us at www.realaistandards.com for brokerage subscription and licensing options.</w:t>
            </w:r>
          </w:p>
        </w:tc>
      </w:tr>
    </w:tbl>
    <w:p>
      <w:pPr>
        <w:spacing w:after="120" w:before="0"/>
      </w:pPr>
      <w:r>
        <w:t xml:space="preserve"/>
      </w:r>
    </w:p>
    <w:p>
      <w:pPr>
        <w:spacing w:after="60" w:before="0"/>
      </w:pPr>
      <w:r>
        <w:t xml:space="preserve"/>
      </w:r>
    </w:p>
    <w:p>
      <w:pPr>
        <w:pBdr>
          <w:bottom w:val="single" w:color="D0D7DE" w:sz="4" w:space="1"/>
        </w:pBdr>
        <w:spacing w:after="160" w:before="0"/>
      </w:pPr>
      <w:r>
        <w:t xml:space="preserve"/>
      </w:r>
    </w:p>
    <w:p>
      <w:pPr>
        <w:pStyle w:val="Heading1"/>
        <w:pBdr>
          <w:bottom w:val="single" w:color="0D7C7C" w:sz="8" w:space="4"/>
        </w:pBdr>
        <w:spacing w:after="160" w:before="360"/>
      </w:pPr>
      <w:r>
        <w:rPr>
          <w:rFonts w:ascii="Arial" w:cs="Arial" w:eastAsia="Arial" w:hAnsi="Arial"/>
          <w:b/>
          <w:bCs/>
          <w:color w:val="1B3A5C"/>
          <w:sz w:val="28"/>
          <w:szCs w:val="28"/>
        </w:rPr>
        <w:t xml:space="preserve">11.  What This Framework Doesn't Cover — And Where to Get It</w:t>
      </w:r>
    </w:p>
    <w:p>
      <w:pPr>
        <w:spacing w:after="120" w:before="60"/>
      </w:pPr>
      <w:r>
        <w:rPr>
          <w:rFonts w:ascii="Arial" w:cs="Arial" w:eastAsia="Arial" w:hAnsi="Arial"/>
          <w:color w:val="4A4A4A"/>
          <w:sz w:val="20"/>
          <w:szCs w:val="20"/>
        </w:rPr>
        <w:t xml:space="preserve">This document gives you the foundation: the principles to guide every AI decision, a clear map of acceptable and prohibited uses, fair housing safeguards, data handling ground rules, and one ready-to-use disclosure template. That foundation matters — but it leaves five significant gaps that agents and brokerages using AI seriously will run into quickly.</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D0D7DE" w:sz="1"/>
              <w:left w:val="single" w:color="D0D7DE" w:sz="1"/>
              <w:bottom w:val="single" w:color="D0D7DE" w:sz="1"/>
              <w:right w:val="single" w:color="D0D7DE" w:sz="1"/>
            </w:tcBorders>
            <w:shd w:fill="1B3A5C" w:val="clear"/>
            <w:tcMar>
              <w:top w:type="dxa" w:w="80"/>
              <w:left w:type="dxa" w:w="120"/>
              <w:bottom w:type="dxa" w:w="80"/>
              <w:right w:type="dxa" w:w="120"/>
            </w:tcMar>
            <w:vAlign w:val="top"/>
          </w:tcPr>
          <w:p>
            <w:r>
              <w:rPr>
                <w:rFonts w:ascii="Arial" w:cs="Arial" w:eastAsia="Arial" w:hAnsi="Arial"/>
                <w:b/>
                <w:bCs/>
                <w:color w:val="FFFFFF"/>
                <w:sz w:val="19"/>
                <w:szCs w:val="19"/>
              </w:rPr>
              <w:t xml:space="preserve">If you're dealing with...</w:t>
            </w:r>
          </w:p>
        </w:tc>
        <w:tc>
          <w:tcPr>
            <w:tcW w:type="dxa" w:w="5760"/>
            <w:tcBorders>
              <w:top w:val="single" w:color="D0D7DE" w:sz="1"/>
              <w:left w:val="single" w:color="D0D7DE" w:sz="1"/>
              <w:bottom w:val="single" w:color="D0D7DE" w:sz="1"/>
              <w:right w:val="single" w:color="D0D7DE" w:sz="1"/>
            </w:tcBorders>
            <w:shd w:fill="1B3A5C" w:val="clear"/>
            <w:tcMar>
              <w:top w:type="dxa" w:w="80"/>
              <w:left w:type="dxa" w:w="120"/>
              <w:bottom w:type="dxa" w:w="80"/>
              <w:right w:type="dxa" w:w="120"/>
            </w:tcMar>
            <w:vAlign w:val="top"/>
          </w:tcPr>
          <w:p>
            <w:r>
              <w:rPr>
                <w:rFonts w:ascii="Arial" w:cs="Arial" w:eastAsia="Arial" w:hAnsi="Arial"/>
                <w:b/>
                <w:bCs/>
                <w:color w:val="FFFFFF"/>
                <w:sz w:val="19"/>
                <w:szCs w:val="19"/>
              </w:rPr>
              <w:t xml:space="preserve">You need...</w:t>
            </w:r>
          </w:p>
        </w:tc>
      </w:tr>
      <w:tr>
        <w:trPr>
          <w:tblHeader w:val="false"/>
        </w:trPr>
        <w:tc>
          <w:tcPr>
            <w:tcW w:type="dxa" w:w="3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Choosing between AI tools, evaluating vendor claims, or approving a new product for brokerage use</w:t>
            </w:r>
          </w:p>
        </w:tc>
        <w:tc>
          <w:tcPr>
            <w:tcW w:type="dxa" w:w="57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AI Vendor Due Diligence Framework — a structured process for evaluating AI vendors: what questions to ask, what documentation to require, how to assess data handling and security claims, and what contractual protections to put in place before any tool touches client data.</w:t>
            </w:r>
          </w:p>
        </w:tc>
      </w:tr>
      <w:tr>
        <w:trPr>
          <w:tblHeader w:val="false"/>
        </w:trPr>
        <w:tc>
          <w:tcPr>
            <w:tcW w:type="dxa" w:w="3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Fair housing risk in your AI tools — listing language, lead routing, valuation outputs, or client recommendation systems</w:t>
            </w:r>
          </w:p>
        </w:tc>
        <w:tc>
          <w:tcPr>
            <w:tcW w:type="dxa" w:w="57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AI &amp; Fair Housing Compliance Framework — goes beyond the safeguards in Section 6. Covers disparate impact testing, HUD guidance interpretation, state-specific protected class expansions, and the documentation you'd need to respond to a fair housing complaint involving an AI tool.</w:t>
            </w:r>
          </w:p>
        </w:tc>
      </w:tr>
      <w:tr>
        <w:trPr>
          <w:tblHeader w:val="false"/>
        </w:trPr>
        <w:tc>
          <w:tcPr>
            <w:tcW w:type="dxa" w:w="3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What client data your AI tools can touch, how to classify it, and what to do if something goes wrong</w:t>
            </w:r>
          </w:p>
        </w:tc>
        <w:tc>
          <w:tcPr>
            <w:tcW w:type="dxa" w:w="57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Client Data &amp; AI Privacy Framework — a data classification system for real estate AI use, consent language for different data types, state-by-state privacy obligation summaries (CCPA, SHIELD Act, and equivalents), and a breach response checklist specific to AI-related incidents.</w:t>
            </w:r>
          </w:p>
        </w:tc>
      </w:tr>
      <w:tr>
        <w:trPr>
          <w:tblHeader w:val="false"/>
        </w:trPr>
        <w:tc>
          <w:tcPr>
            <w:tcW w:type="dxa" w:w="3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Disclosure language for specific situations beyond the general template — listings, CMAs, chatbots, lead scoring</w:t>
            </w:r>
          </w:p>
        </w:tc>
        <w:tc>
          <w:tcPr>
            <w:tcW w:type="dxa" w:w="57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AI Disclosure &amp; Transparency Framework — purpose-built templates for every disclosure scenario in real estate AI use, plus guidance on state-specific emerging disclosure obligations in California, Colorado, and New York.</w:t>
            </w:r>
          </w:p>
        </w:tc>
      </w:tr>
      <w:tr>
        <w:trPr>
          <w:tblHeader w:val="false"/>
        </w:trPr>
        <w:tc>
          <w:tcPr>
            <w:tcW w:type="dxa" w:w="3600"/>
            <w:tcBorders>
              <w:top w:val="single" w:color="D0D7DE" w:sz="1"/>
              <w:left w:val="single" w:color="D0D7DE" w:sz="1"/>
              <w:bottom w:val="single" w:color="D0D7DE" w:sz="1"/>
              <w:right w:val="single" w:color="D0D7DE" w:sz="1"/>
            </w:tcBorders>
            <w:shd w:fill="FFFFFF" w:val="clear"/>
            <w:tcMar>
              <w:top w:type="dxa" w:w="80"/>
              <w:left w:type="dxa" w:w="120"/>
              <w:bottom w:type="dxa" w:w="80"/>
              <w:right w:type="dxa" w:w="120"/>
            </w:tcMar>
            <w:vAlign w:val="top"/>
          </w:tcPr>
          <w:p>
            <w:r>
              <w:rPr>
                <w:rFonts w:ascii="Arial" w:cs="Arial" w:eastAsia="Arial" w:hAnsi="Arial"/>
                <w:color w:val="1B3A5C"/>
                <w:sz w:val="19"/>
                <w:szCs w:val="19"/>
              </w:rPr>
              <w:t xml:space="preserve">What to do when an AI tool produces harmful output, causes a fair housing complaint, or contributes to a transaction error</w:t>
            </w:r>
          </w:p>
        </w:tc>
        <w:tc>
          <w:tcPr>
            <w:tcW w:type="dxa" w:w="5760"/>
            <w:tcBorders>
              <w:top w:val="single" w:color="D0D7DE" w:sz="1"/>
              <w:left w:val="single" w:color="D0D7DE" w:sz="1"/>
              <w:bottom w:val="single" w:color="D0D7DE" w:sz="1"/>
              <w:right w:val="single" w:color="D0D7DE" w:sz="1"/>
            </w:tcBorders>
            <w:shd w:fill="F2F5F7" w:val="clear"/>
            <w:tcMar>
              <w:top w:type="dxa" w:w="80"/>
              <w:left w:type="dxa" w:w="120"/>
              <w:bottom w:type="dxa" w:w="80"/>
              <w:right w:type="dxa" w:w="120"/>
            </w:tcMar>
            <w:vAlign w:val="top"/>
          </w:tcPr>
          <w:p>
            <w:r>
              <w:rPr>
                <w:rFonts w:ascii="Arial" w:cs="Arial" w:eastAsia="Arial" w:hAnsi="Arial"/>
                <w:color w:val="4A4A4A"/>
                <w:sz w:val="19"/>
                <w:szCs w:val="19"/>
              </w:rPr>
              <w:t xml:space="preserve">AI Incident Response Framework — a step-by-step response guide covering immediate containment, client notification obligations, broker and E&amp;O carrier communication, regulatory reporting considerations, and documentation for your legal file.</w:t>
            </w:r>
          </w:p>
        </w:tc>
      </w:tr>
    </w:tbl>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882A" w:sz="1"/>
              <w:left w:val="single" w:color="C8882A" w:sz="24"/>
              <w:bottom w:val="single" w:color="C8882A" w:sz="1"/>
              <w:right w:val="single" w:color="C8882A" w:sz="1"/>
            </w:tcBorders>
            <w:shd w:fill="FDF6EC" w:val="clear"/>
            <w:tcMar>
              <w:top w:type="dxa" w:w="140"/>
              <w:left w:type="dxa" w:w="180"/>
              <w:bottom w:type="dxa" w:w="140"/>
              <w:right w:type="dxa" w:w="180"/>
            </w:tcMar>
          </w:tcPr>
          <w:p>
            <w:pPr>
              <w:spacing w:after="100" w:before="0"/>
            </w:pPr>
            <w:r>
              <w:rPr>
                <w:rFonts w:ascii="Arial" w:cs="Arial" w:eastAsia="Arial" w:hAnsi="Arial"/>
                <w:b/>
                <w:bCs/>
                <w:color w:val="1B3A5C"/>
                <w:sz w:val="22"/>
                <w:szCs w:val="22"/>
              </w:rPr>
              <w:t xml:space="preserve">Access the Full Framework Library</w:t>
            </w:r>
          </w:p>
          <w:p>
            <w:pPr>
              <w:spacing w:after="100" w:before="0"/>
            </w:pPr>
            <w:r>
              <w:rPr>
                <w:rFonts w:ascii="Arial" w:cs="Arial" w:eastAsia="Arial" w:hAnsi="Arial"/>
                <w:color w:val="4A4A4A"/>
                <w:sz w:val="19"/>
                <w:szCs w:val="19"/>
              </w:rPr>
              <w:t xml:space="preserve">Real AI Standards subscribers receive all five frameworks above, plus automatic updates when regulatory guidance or industry practice changes materially. Given the pace of AI development, that update coverage is the part most practitioners tell us they value most.</w:t>
            </w:r>
          </w:p>
          <w:p>
            <w:pPr>
              <w:spacing w:after="100" w:before="0"/>
            </w:pPr>
            <w:r>
              <w:rPr>
                <w:rFonts w:ascii="Arial" w:cs="Arial" w:eastAsia="Arial" w:hAnsi="Arial"/>
                <w:color w:val="4A4A4A"/>
                <w:sz w:val="19"/>
                <w:szCs w:val="19"/>
              </w:rPr>
              <w:t xml:space="preserve">Individual framework licensing is also available for brokerages that need specific documents only.</w:t>
            </w:r>
          </w:p>
          <w:p>
            <w:pPr>
              <w:spacing w:after="0" w:before="0"/>
            </w:pPr>
            <w:r>
              <w:rPr>
                <w:rFonts w:ascii="Arial" w:cs="Arial" w:eastAsia="Arial" w:hAnsi="Arial"/>
                <w:b/>
                <w:bCs/>
                <w:color w:val="0D7C7C"/>
                <w:sz w:val="19"/>
                <w:szCs w:val="19"/>
              </w:rPr>
              <w:t xml:space="preserve">Visit www.realaistandards.com to review subscription and licensing options.</w:t>
            </w:r>
          </w:p>
        </w:tc>
      </w:tr>
    </w:tbl>
    <w:p>
      <w:pPr>
        <w:spacing w:after="120" w:before="0"/>
      </w:pPr>
      <w:r>
        <w:t xml:space="preserve"/>
      </w:r>
    </w:p>
    <w:p>
      <w:pPr>
        <w:pBdr>
          <w:bottom w:val="single" w:color="D0D7DE" w:sz="4" w:space="1"/>
        </w:pBdr>
        <w:spacing w:after="160" w:before="0"/>
      </w:pPr>
      <w:r>
        <w:t xml:space="preserve"/>
      </w:r>
    </w:p>
    <w:p>
      <w:pPr>
        <w:pStyle w:val="Heading1"/>
        <w:pBdr>
          <w:bottom w:val="single" w:color="0D7C7C" w:sz="8" w:space="4"/>
        </w:pBdr>
        <w:spacing w:after="160" w:before="360"/>
      </w:pPr>
      <w:r>
        <w:rPr>
          <w:rFonts w:ascii="Arial" w:cs="Arial" w:eastAsia="Arial" w:hAnsi="Arial"/>
          <w:b/>
          <w:bCs/>
          <w:color w:val="1B3A5C"/>
          <w:sz w:val="28"/>
          <w:szCs w:val="28"/>
        </w:rPr>
        <w:t xml:space="preserve">12.  About This Document</w:t>
      </w:r>
    </w:p>
    <w:p>
      <w:pPr>
        <w:spacing w:after="120" w:before="60"/>
      </w:pPr>
      <w:r>
        <w:rPr>
          <w:rFonts w:ascii="Arial" w:cs="Arial" w:eastAsia="Arial" w:hAnsi="Arial"/>
          <w:color w:val="4A4A4A"/>
          <w:sz w:val="20"/>
          <w:szCs w:val="20"/>
        </w:rPr>
        <w:t xml:space="preserve">This framework was developed by Real AI Standards — a practitioner-focused guidance resource for the real estate industry. It reflects the perspective of an IT professional with extensive real estate industry experience. It is not produced by a law firm, does not constitute legal advice, and should not be relied on as a substitute for legal counsel.</w:t>
      </w:r>
    </w:p>
    <w:p>
      <w:pPr>
        <w:spacing w:after="120" w:before="60"/>
      </w:pPr>
      <w:r>
        <w:rPr>
          <w:rFonts w:ascii="Arial" w:cs="Arial" w:eastAsia="Arial" w:hAnsi="Arial"/>
          <w:color w:val="4A4A4A"/>
          <w:sz w:val="20"/>
          <w:szCs w:val="20"/>
        </w:rPr>
        <w:t xml:space="preserve">Real AI Standards is not affiliated with the National Association of REALTORS®, any state real estate commission, or any AI tool vendor. No AI tool vendor has provided compensation or editorial input in exchange for inclusion in or exclusion from this guidance.</w:t>
      </w:r>
    </w:p>
    <w:p>
      <w:pPr>
        <w:pStyle w:val="Heading2"/>
        <w:spacing w:after="100" w:before="280"/>
      </w:pPr>
      <w:r>
        <w:rPr>
          <w:rFonts w:ascii="Arial" w:cs="Arial" w:eastAsia="Arial" w:hAnsi="Arial"/>
          <w:b/>
          <w:bCs/>
          <w:color w:val="0D7C7C"/>
          <w:sz w:val="22"/>
          <w:szCs w:val="22"/>
        </w:rPr>
        <w:t xml:space="preserve">Feedback &amp; Questions</w:t>
      </w:r>
    </w:p>
    <w:p>
      <w:pPr>
        <w:spacing w:after="120" w:before="60"/>
      </w:pPr>
      <w:r>
        <w:rPr>
          <w:rFonts w:ascii="Arial" w:cs="Arial" w:eastAsia="Arial" w:hAnsi="Arial"/>
          <w:color w:val="4A4A4A"/>
          <w:sz w:val="20"/>
          <w:szCs w:val="20"/>
        </w:rPr>
        <w:t xml:space="preserve">We improve these frameworks based on practitioner feedback. If you have questions, identify an error, or want to suggest a topic for future guidance, contact us through www.realaistandards.com.</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5C" w:sz="1"/>
              <w:left w:val="single" w:color="1B3A5C" w:sz="1"/>
              <w:bottom w:val="single" w:color="1B3A5C" w:sz="1"/>
              <w:right w:val="single" w:color="1B3A5C" w:sz="1"/>
            </w:tcBorders>
            <w:shd w:fill="1B3A5C" w:val="clear"/>
            <w:tcMar>
              <w:top w:type="dxa" w:w="140"/>
              <w:left w:type="dxa" w:w="200"/>
              <w:bottom w:type="dxa" w:w="140"/>
              <w:right w:type="dxa" w:w="200"/>
            </w:tcMar>
          </w:tcPr>
          <w:p>
            <w:pPr>
              <w:spacing w:after="60" w:before="0"/>
              <w:jc w:val="center"/>
            </w:pPr>
            <w:r>
              <w:rPr>
                <w:rFonts w:ascii="Arial" w:cs="Arial" w:eastAsia="Arial" w:hAnsi="Arial"/>
                <w:b/>
                <w:bCs/>
                <w:color w:val="FFFFFF"/>
                <w:sz w:val="24"/>
                <w:szCs w:val="24"/>
              </w:rPr>
              <w:t xml:space="preserve">Real AI Standards</w:t>
            </w:r>
          </w:p>
          <w:p>
            <w:pPr>
              <w:spacing w:after="60" w:before="0"/>
              <w:jc w:val="center"/>
            </w:pPr>
            <w:r>
              <w:rPr>
                <w:rFonts w:ascii="Arial" w:cs="Arial" w:eastAsia="Arial" w:hAnsi="Arial"/>
                <w:i/>
                <w:iCs/>
                <w:color w:val="0D7C7C"/>
                <w:sz w:val="18"/>
                <w:szCs w:val="18"/>
              </w:rPr>
              <w:t xml:space="preserve">Practical AI guidance for real estate professionals</w:t>
            </w:r>
          </w:p>
          <w:p>
            <w:pPr>
              <w:spacing w:after="60" w:before="0"/>
              <w:jc w:val="center"/>
            </w:pPr>
            <w:r>
              <w:rPr>
                <w:rFonts w:ascii="Arial" w:cs="Arial" w:eastAsia="Arial" w:hAnsi="Arial"/>
                <w:b/>
                <w:bCs/>
                <w:color w:val="C8882A"/>
                <w:sz w:val="20"/>
                <w:szCs w:val="20"/>
              </w:rPr>
              <w:t xml:space="preserve">www.realaistandards.com</w:t>
            </w:r>
          </w:p>
          <w:p>
            <w:pPr>
              <w:spacing w:after="0" w:before="0"/>
              <w:jc w:val="center"/>
            </w:pPr>
            <w:r>
              <w:rPr>
                <w:rFonts w:ascii="Arial" w:cs="Arial" w:eastAsia="Arial" w:hAnsi="Arial"/>
                <w:color w:val="D0D7DE"/>
                <w:sz w:val="17"/>
                <w:szCs w:val="17"/>
              </w:rPr>
              <w:t xml:space="preserve">Last Reviewed: May 2026  |  Version 1.0</w:t>
            </w:r>
          </w:p>
        </w:tc>
      </w:tr>
    </w:tbl>
    <w:p>
      <w:pPr>
        <w:spacing w:after="120" w:before="0"/>
      </w:pPr>
      <w:r>
        <w:t xml:space="preserve"/>
      </w:r>
    </w:p>
    <w:p>
      <w:pPr>
        <w:jc w:val="center"/>
      </w:pPr>
      <w:r>
        <w:rPr>
          <w:rFonts w:ascii="Arial" w:cs="Arial" w:eastAsia="Arial" w:hAnsi="Arial"/>
          <w:i/>
          <w:iCs/>
          <w:color w:val="4A4A4A"/>
          <w:sz w:val="16"/>
          <w:szCs w:val="16"/>
        </w:rPr>
        <w:t xml:space="preserve">This document may be reproduced for internal brokerage use with attribution to Real AI Standards (www.realaistandards.com). It may not be resold, rebranded, or published externally without written permission.</w:t>
      </w:r>
    </w:p>
    <w:sectPr>
      <w:headerReference w:type="default" r:id="rId7"/>
      <w:footerReference w:type="default" r:id="rId8"/>
      <w:pgSz w:w="12240" w:h="15840" w:orient="portrait"/>
      <w:pgMar w:top="120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D7C7C" w:sz="6" w:space="4"/>
      </w:pBdr>
      <w:tabs>
        <w:tab w:val="right" w:pos="9360"/>
      </w:tabs>
      <w:spacing w:after="0" w:before="80"/>
    </w:pPr>
    <w:r>
      <w:rPr>
        <w:rFonts w:ascii="Arial" w:cs="Arial" w:eastAsia="Arial" w:hAnsi="Arial"/>
        <w:color w:val="4A4A4A"/>
        <w:sz w:val="16"/>
        <w:szCs w:val="16"/>
      </w:rPr>
      <w:t xml:space="preserve">© 2026 Real AI Standards  |  Last Reviewed: May 2026</w:t>
    </w:r>
    <w:r>
      <w:rPr>
        <w:rFonts w:ascii="Arial" w:cs="Arial" w:eastAsia="Arial" w:hAnsi="Arial"/>
        <w:sz w:val="16"/>
        <w:szCs w:val="16"/>
      </w:rPr>
      <w:t xml:space="preserve">	</w:t>
    </w:r>
    <w:r>
      <w:rPr>
        <w:rFonts w:ascii="Arial" w:cs="Arial" w:eastAsia="Arial" w:hAnsi="Arial"/>
        <w:color w:val="4A4A4A"/>
        <w:sz w:val="16"/>
        <w:szCs w:val="16"/>
      </w:rPr>
      <w:t xml:space="preserve">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D7C7C" w:sz="6" w:space="4"/>
      </w:pBdr>
      <w:tabs>
        <w:tab w:val="right" w:pos="9360"/>
      </w:tabs>
      <w:spacing w:after="80" w:before="0"/>
    </w:pPr>
    <w:r>
      <w:rPr>
        <w:rFonts w:ascii="Arial" w:cs="Arial" w:eastAsia="Arial" w:hAnsi="Arial"/>
        <w:b/>
        <w:bCs/>
        <w:color w:val="1B3A5C"/>
        <w:sz w:val="18"/>
        <w:szCs w:val="18"/>
      </w:rPr>
      <w:t xml:space="preserve">Real AI Standards</w:t>
    </w:r>
    <w:r>
      <w:rPr>
        <w:rFonts w:ascii="Arial" w:cs="Arial" w:eastAsia="Arial" w:hAnsi="Arial"/>
        <w:color w:val="0D7C7C"/>
        <w:sz w:val="16"/>
        <w:szCs w:val="16"/>
      </w:rPr>
      <w:t xml:space="preserve">  |  Practical AI guidance for real estate professionals</w:t>
    </w:r>
    <w:r>
      <w:rPr>
        <w:rFonts w:ascii="Arial" w:cs="Arial" w:eastAsia="Arial" w:hAnsi="Arial"/>
        <w:sz w:val="16"/>
        <w:szCs w:val="16"/>
      </w:rPr>
      <w:t xml:space="preserve">	</w:t>
    </w:r>
    <w:r>
      <w:rPr>
        <w:rFonts w:ascii="Arial" w:cs="Arial" w:eastAsia="Arial" w:hAnsi="Arial"/>
        <w:color w:val="0D7C7C"/>
        <w:sz w:val="16"/>
        <w:szCs w:val="16"/>
      </w:rPr>
      <w:t xml:space="preserve">www.realaistandards.com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lvl>
    <w:lvl w:ilvl="1" w15:tentative="1">
      <w:start w:val="1"/>
      <w:numFmt w:val="bullet"/>
      <w:lvlText w:val="◦"/>
      <w:lvlJc w:val="left"/>
      <w:pPr>
        <w:ind w:left="1080" w:hanging="320"/>
      </w:pPr>
    </w:lvl>
  </w:abstractNum>
  <w:abstractNum w:abstractNumId="3" w15:restartNumberingAfterBreak="0">
    <w:multiLevelType w:val="hybridMultilevel"/>
    <w:lvl w:ilvl="0" w15:tentative="1">
      <w:start w:val="1"/>
      <w:numFmt w:val="decimal"/>
      <w:lvlText w:val="%1."/>
      <w:lvlJc w:val="left"/>
      <w:pPr>
        <w:ind w:left="640" w:hanging="32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B3A5C"/>
      <w:sz w:val="28"/>
      <w:szCs w:val="28"/>
    </w:rPr>
  </w:style>
  <w:style w:type="paragraph" w:styleId="Heading2">
    <w:name w:val="Heading 2"/>
    <w:basedOn w:val="Normal"/>
    <w:next w:val="Normal"/>
    <w:qFormat/>
    <w:pPr>
      <w:spacing w:after="100" w:before="280"/>
      <w:outlineLvl w:val="1"/>
    </w:pPr>
    <w:rPr>
      <w:rFonts w:ascii="Arial" w:cs="Arial" w:eastAsia="Arial" w:hAnsi="Arial"/>
      <w:b/>
      <w:bCs/>
      <w:color w:val="0D7C7C"/>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2026-05-14T14:38:43.285Z</dcterms:created>
  <dcterms:modified xsi:type="dcterms:W3CDTF">2026-05-14T14:38:43.300Z</dcterms:modified>
</cp:coreProperties>
</file>

<file path=docProps/custom.xml><?xml version="1.0" encoding="utf-8"?>
<Properties xmlns="http://schemas.openxmlformats.org/officeDocument/2006/custom-properties" xmlns:vt="http://schemas.openxmlformats.org/officeDocument/2006/docPropsVTypes"/>
</file>